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D2CC9" w14:textId="3249518B" w:rsidR="003239DA" w:rsidRDefault="003239DA" w:rsidP="00164C42">
      <w:pPr>
        <w:widowControl w:val="0"/>
        <w:autoSpaceDE w:val="0"/>
        <w:autoSpaceDN w:val="0"/>
        <w:adjustRightInd w:val="0"/>
        <w:spacing w:after="0" w:line="360" w:lineRule="auto"/>
        <w:ind w:right="-2"/>
        <w:jc w:val="center"/>
        <w:rPr>
          <w:rFonts w:ascii="Times New Roman" w:hAnsi="Times New Roman" w:cs="Times New Roman"/>
          <w:b/>
          <w:bCs/>
          <w:sz w:val="24"/>
          <w:szCs w:val="24"/>
        </w:rPr>
      </w:pPr>
      <w:bookmarkStart w:id="0" w:name="_Hlk74869354"/>
      <w:bookmarkStart w:id="1" w:name="_GoBack"/>
      <w:bookmarkEnd w:id="1"/>
      <w:r w:rsidRPr="003239DA">
        <w:rPr>
          <w:rFonts w:ascii="Times New Roman" w:hAnsi="Times New Roman" w:cs="Times New Roman"/>
          <w:b/>
          <w:bCs/>
          <w:sz w:val="24"/>
          <w:szCs w:val="24"/>
        </w:rPr>
        <w:t>KRONİK HASTALIĞI OLAN BİREYLERDE SAĞLIK OKURYAZARLIĞININ YAŞAM KALİTESİ VE İLAÇ UYUMU İLE İLİŞKİSİ</w:t>
      </w:r>
    </w:p>
    <w:p w14:paraId="41C9FCB1" w14:textId="77777777" w:rsidR="00164C42" w:rsidRPr="003239DA" w:rsidRDefault="00164C42" w:rsidP="00164C42">
      <w:pPr>
        <w:widowControl w:val="0"/>
        <w:autoSpaceDE w:val="0"/>
        <w:autoSpaceDN w:val="0"/>
        <w:adjustRightInd w:val="0"/>
        <w:spacing w:after="0" w:line="360" w:lineRule="auto"/>
        <w:ind w:right="-2"/>
        <w:jc w:val="center"/>
        <w:rPr>
          <w:rFonts w:ascii="Times New Roman" w:eastAsia="MS Mincho" w:hAnsi="Times New Roman" w:cs="Times New Roman"/>
          <w:bCs/>
          <w:sz w:val="24"/>
          <w:szCs w:val="24"/>
        </w:rPr>
      </w:pPr>
    </w:p>
    <w:p w14:paraId="461107D9" w14:textId="77777777" w:rsidR="008C39D8" w:rsidRPr="005D1551" w:rsidRDefault="008C39D8" w:rsidP="008C39D8">
      <w:pPr>
        <w:spacing w:before="120" w:after="0" w:line="360" w:lineRule="auto"/>
        <w:ind w:left="284" w:firstLine="709"/>
        <w:jc w:val="both"/>
        <w:rPr>
          <w:rFonts w:ascii="Times New Roman" w:hAnsi="Times New Roman" w:cs="Times New Roman"/>
          <w:b/>
          <w:sz w:val="24"/>
          <w:szCs w:val="24"/>
        </w:rPr>
      </w:pPr>
      <w:r w:rsidRPr="005D1551">
        <w:rPr>
          <w:rFonts w:ascii="Times New Roman" w:hAnsi="Times New Roman" w:cs="Times New Roman"/>
          <w:b/>
          <w:sz w:val="24"/>
          <w:szCs w:val="24"/>
        </w:rPr>
        <w:t>ÖZET</w:t>
      </w:r>
    </w:p>
    <w:p w14:paraId="1666FB82" w14:textId="77777777" w:rsidR="008C39D8" w:rsidRPr="005D1551" w:rsidRDefault="008C39D8" w:rsidP="008C39D8">
      <w:pPr>
        <w:spacing w:before="120" w:after="0" w:line="360" w:lineRule="auto"/>
        <w:ind w:left="284" w:firstLine="709"/>
        <w:jc w:val="both"/>
        <w:rPr>
          <w:rFonts w:ascii="Times New Roman" w:hAnsi="Times New Roman" w:cs="Times New Roman"/>
          <w:sz w:val="24"/>
          <w:szCs w:val="24"/>
        </w:rPr>
      </w:pPr>
      <w:r w:rsidRPr="005D1551">
        <w:rPr>
          <w:rFonts w:ascii="Times New Roman" w:hAnsi="Times New Roman" w:cs="Times New Roman"/>
          <w:b/>
          <w:sz w:val="24"/>
          <w:szCs w:val="24"/>
        </w:rPr>
        <w:t>Amaç</w:t>
      </w:r>
      <w:r w:rsidRPr="005D1551">
        <w:rPr>
          <w:rFonts w:ascii="Times New Roman" w:hAnsi="Times New Roman" w:cs="Times New Roman"/>
          <w:sz w:val="24"/>
          <w:szCs w:val="24"/>
        </w:rPr>
        <w:t>: Kronik hastalığı olan bireylerin, hastalıkları hakkında aldıkları kararlar; sağlık sonuçları ile verilen sağlık hizmetinin etkinliğini ve kalitesini önemli bir düzeyde etkilemektedir. Hastalar tarafından alınan kararlar daha çok sağlıkla ilgili becerileri, kapasiteleri ve bilgileri neticesinde oluşmaktadır. Bu durum literatürde ‘sağlık okur-yazarlığı’ olarak adlandırılmaktadır. Bu çalışmada kronik hastalığı olan bireylerde sağlık okuryazarlığının yaşam kalitesi ve ilaç uyumu ile olan ilişkisinin incelenmesi amaçlanmaktadır.</w:t>
      </w:r>
    </w:p>
    <w:p w14:paraId="07CB5E61" w14:textId="77777777" w:rsidR="008C39D8" w:rsidRPr="005D1551" w:rsidRDefault="008C39D8" w:rsidP="008C39D8">
      <w:pPr>
        <w:spacing w:before="120" w:after="0" w:line="360" w:lineRule="auto"/>
        <w:ind w:left="284" w:firstLine="709"/>
        <w:jc w:val="both"/>
        <w:rPr>
          <w:rFonts w:ascii="Times New Roman" w:hAnsi="Times New Roman" w:cs="Times New Roman"/>
          <w:sz w:val="24"/>
          <w:szCs w:val="24"/>
        </w:rPr>
      </w:pPr>
      <w:r w:rsidRPr="005D1551">
        <w:rPr>
          <w:rFonts w:ascii="Times New Roman" w:hAnsi="Times New Roman" w:cs="Times New Roman"/>
          <w:b/>
          <w:sz w:val="24"/>
          <w:szCs w:val="24"/>
        </w:rPr>
        <w:t>Yöntemler:</w:t>
      </w:r>
      <w:r w:rsidRPr="005D1551">
        <w:rPr>
          <w:rFonts w:ascii="Times New Roman" w:hAnsi="Times New Roman" w:cs="Times New Roman"/>
          <w:sz w:val="24"/>
          <w:szCs w:val="24"/>
        </w:rPr>
        <w:t xml:space="preserve"> Çalışmamıza 2018 yılı Ocak-Nisan ayları arasında Atatürk Üniversitesi Tıp Fakültesi Aile Hekimliği Anabilim Dalı’na bağlı Aile Sağlığı Merkezi’nde kayıtlı olup en az bir kronik hastalığı (diyabet, kronik </w:t>
      </w:r>
      <w:proofErr w:type="spellStart"/>
      <w:r w:rsidRPr="005D1551">
        <w:rPr>
          <w:rFonts w:ascii="Times New Roman" w:hAnsi="Times New Roman" w:cs="Times New Roman"/>
          <w:sz w:val="24"/>
          <w:szCs w:val="24"/>
        </w:rPr>
        <w:t>obstrüktif</w:t>
      </w:r>
      <w:proofErr w:type="spellEnd"/>
      <w:r w:rsidRPr="005D1551">
        <w:rPr>
          <w:rFonts w:ascii="Times New Roman" w:hAnsi="Times New Roman" w:cs="Times New Roman"/>
          <w:sz w:val="24"/>
          <w:szCs w:val="24"/>
        </w:rPr>
        <w:t xml:space="preserve"> akciğer hastalığı, </w:t>
      </w:r>
      <w:proofErr w:type="spellStart"/>
      <w:r w:rsidRPr="005D1551">
        <w:rPr>
          <w:rFonts w:ascii="Times New Roman" w:hAnsi="Times New Roman" w:cs="Times New Roman"/>
          <w:sz w:val="24"/>
          <w:szCs w:val="24"/>
        </w:rPr>
        <w:t>kardiovasküler</w:t>
      </w:r>
      <w:proofErr w:type="spellEnd"/>
      <w:r w:rsidRPr="005D1551">
        <w:rPr>
          <w:rFonts w:ascii="Times New Roman" w:hAnsi="Times New Roman" w:cs="Times New Roman"/>
          <w:sz w:val="24"/>
          <w:szCs w:val="24"/>
        </w:rPr>
        <w:t xml:space="preserve"> hastalık, kas-iskelet sistemi hastalıkları) olan hastalar çalışmaya dahil edildi. </w:t>
      </w:r>
      <w:proofErr w:type="spellStart"/>
      <w:r w:rsidRPr="005D1551">
        <w:rPr>
          <w:rFonts w:ascii="Times New Roman" w:hAnsi="Times New Roman" w:cs="Times New Roman"/>
          <w:sz w:val="24"/>
          <w:szCs w:val="24"/>
        </w:rPr>
        <w:t>Hastalarlar</w:t>
      </w:r>
      <w:proofErr w:type="spellEnd"/>
      <w:r w:rsidRPr="005D1551">
        <w:rPr>
          <w:rFonts w:ascii="Times New Roman" w:hAnsi="Times New Roman" w:cs="Times New Roman"/>
          <w:sz w:val="24"/>
          <w:szCs w:val="24"/>
        </w:rPr>
        <w:t xml:space="preserve"> yüz yüze görüşülerek; Avrupa Sağlık Okuryazarlık Ölçeği Türkçe Uyarlaması (ASOY-TR), SF-12 Kısa Sağlık Ölçeği ve </w:t>
      </w:r>
      <w:proofErr w:type="spellStart"/>
      <w:r w:rsidRPr="005D1551">
        <w:rPr>
          <w:rFonts w:ascii="Times New Roman" w:hAnsi="Times New Roman" w:cs="Times New Roman"/>
          <w:sz w:val="24"/>
          <w:szCs w:val="24"/>
        </w:rPr>
        <w:t>Modifiye</w:t>
      </w:r>
      <w:proofErr w:type="spellEnd"/>
      <w:r w:rsidRPr="005D1551">
        <w:rPr>
          <w:rFonts w:ascii="Times New Roman" w:hAnsi="Times New Roman" w:cs="Times New Roman"/>
          <w:sz w:val="24"/>
          <w:szCs w:val="24"/>
        </w:rPr>
        <w:t xml:space="preserve"> </w:t>
      </w:r>
      <w:proofErr w:type="spellStart"/>
      <w:r w:rsidRPr="005D1551">
        <w:rPr>
          <w:rFonts w:ascii="Times New Roman" w:hAnsi="Times New Roman" w:cs="Times New Roman"/>
          <w:sz w:val="24"/>
          <w:szCs w:val="24"/>
        </w:rPr>
        <w:t>Morisky</w:t>
      </w:r>
      <w:proofErr w:type="spellEnd"/>
      <w:r w:rsidRPr="005D1551">
        <w:rPr>
          <w:rFonts w:ascii="Times New Roman" w:hAnsi="Times New Roman" w:cs="Times New Roman"/>
          <w:sz w:val="24"/>
          <w:szCs w:val="24"/>
        </w:rPr>
        <w:t xml:space="preserve"> Ölçeği (MMÖ) uygulandı.</w:t>
      </w:r>
    </w:p>
    <w:p w14:paraId="1FF072E7" w14:textId="77777777" w:rsidR="008C39D8" w:rsidRPr="005D1551" w:rsidRDefault="008C39D8" w:rsidP="008C39D8">
      <w:pPr>
        <w:spacing w:before="120" w:after="0" w:line="360" w:lineRule="auto"/>
        <w:ind w:left="284" w:firstLine="709"/>
        <w:jc w:val="both"/>
        <w:rPr>
          <w:rFonts w:ascii="Times New Roman" w:hAnsi="Times New Roman" w:cs="Times New Roman"/>
          <w:sz w:val="24"/>
          <w:szCs w:val="24"/>
        </w:rPr>
      </w:pPr>
      <w:r w:rsidRPr="005D1551">
        <w:rPr>
          <w:rFonts w:ascii="Times New Roman" w:hAnsi="Times New Roman" w:cs="Times New Roman"/>
          <w:b/>
          <w:sz w:val="24"/>
          <w:szCs w:val="24"/>
        </w:rPr>
        <w:t>Bulgular:</w:t>
      </w:r>
      <w:r w:rsidRPr="005D1551">
        <w:rPr>
          <w:rFonts w:ascii="Times New Roman" w:hAnsi="Times New Roman" w:cs="Times New Roman"/>
          <w:sz w:val="24"/>
          <w:szCs w:val="24"/>
        </w:rPr>
        <w:t xml:space="preserve"> Çalışmaya kriterleri karşılayan 150 hasta dahil edildi. 65 yaş üstündeki katılımcıların, 65 yaş altındaki katılımcılara göre; işçilerin diğer meslek gruplarına </w:t>
      </w:r>
      <w:proofErr w:type="gramStart"/>
      <w:r w:rsidRPr="005D1551">
        <w:rPr>
          <w:rFonts w:ascii="Times New Roman" w:hAnsi="Times New Roman" w:cs="Times New Roman"/>
          <w:sz w:val="24"/>
          <w:szCs w:val="24"/>
        </w:rPr>
        <w:t>göre;</w:t>
      </w:r>
      <w:proofErr w:type="gramEnd"/>
      <w:r w:rsidRPr="005D1551">
        <w:rPr>
          <w:rFonts w:ascii="Times New Roman" w:hAnsi="Times New Roman" w:cs="Times New Roman"/>
          <w:sz w:val="24"/>
          <w:szCs w:val="24"/>
        </w:rPr>
        <w:t xml:space="preserve"> MMÖ bilgi düzeyi yüksek olanların düşük olanlara göre; MMÖ motivasyon düzeyi yüksek olanların düşük olanlara göre istatistiki açıdan daha yüksek puanlı ASOY değerlerine sahip oldukları görülmüştür. ASOY puanları ile MMÖ arasında (</w:t>
      </w:r>
      <w:proofErr w:type="spellStart"/>
      <w:r w:rsidRPr="005D1551">
        <w:rPr>
          <w:rFonts w:ascii="Times New Roman" w:hAnsi="Times New Roman" w:cs="Times New Roman"/>
          <w:sz w:val="24"/>
          <w:szCs w:val="24"/>
        </w:rPr>
        <w:t>Pearson</w:t>
      </w:r>
      <w:proofErr w:type="spellEnd"/>
      <w:r w:rsidRPr="005D1551">
        <w:rPr>
          <w:rFonts w:ascii="Times New Roman" w:hAnsi="Times New Roman" w:cs="Times New Roman"/>
          <w:sz w:val="24"/>
          <w:szCs w:val="24"/>
        </w:rPr>
        <w:t xml:space="preserve"> korelasyon değeri=0,266, p&lt;0,01) ve SF-12’nin 8 alt boyutu arasında anlamlı düzeyde pozitif korelasyon tespit edildi (p&lt;0,05).</w:t>
      </w:r>
    </w:p>
    <w:p w14:paraId="6674BC37" w14:textId="77777777" w:rsidR="008C39D8" w:rsidRPr="005D1551" w:rsidRDefault="008C39D8" w:rsidP="008C39D8">
      <w:pPr>
        <w:spacing w:before="120" w:after="0" w:line="360" w:lineRule="auto"/>
        <w:ind w:left="284" w:firstLine="709"/>
        <w:jc w:val="both"/>
        <w:rPr>
          <w:rFonts w:ascii="Times New Roman" w:hAnsi="Times New Roman" w:cs="Times New Roman"/>
          <w:sz w:val="24"/>
          <w:szCs w:val="24"/>
        </w:rPr>
      </w:pPr>
      <w:r w:rsidRPr="005D1551">
        <w:rPr>
          <w:rFonts w:ascii="Times New Roman" w:hAnsi="Times New Roman" w:cs="Times New Roman"/>
          <w:b/>
          <w:sz w:val="24"/>
          <w:szCs w:val="24"/>
        </w:rPr>
        <w:t>Sonuçlar:</w:t>
      </w:r>
      <w:r w:rsidRPr="005D1551">
        <w:rPr>
          <w:rFonts w:ascii="Times New Roman" w:hAnsi="Times New Roman" w:cs="Times New Roman"/>
          <w:sz w:val="24"/>
          <w:szCs w:val="24"/>
        </w:rPr>
        <w:t xml:space="preserve"> Kronik hastalığa sahip bireylerle, yaşlı ve kronik hastalığa sahip bireylerin sağlık okuryazarlık düzeylerinin iyileştirilmesi hem bireylerin kendi sağlık yönetimlerini gerçekleştirmesine katkı sağlayacak, hem de başta acil servisler olmak üzere sağlık kuruluşlarındaki yoğunluk ve iş yükünün azaltılmasına pozitif yönde etki ederek daha kaliteli hizmet verilmesine </w:t>
      </w:r>
      <w:proofErr w:type="gramStart"/>
      <w:r w:rsidRPr="005D1551">
        <w:rPr>
          <w:rFonts w:ascii="Times New Roman" w:hAnsi="Times New Roman" w:cs="Times New Roman"/>
          <w:sz w:val="24"/>
          <w:szCs w:val="24"/>
        </w:rPr>
        <w:t>imkan</w:t>
      </w:r>
      <w:proofErr w:type="gramEnd"/>
      <w:r w:rsidRPr="005D1551">
        <w:rPr>
          <w:rFonts w:ascii="Times New Roman" w:hAnsi="Times New Roman" w:cs="Times New Roman"/>
          <w:sz w:val="24"/>
          <w:szCs w:val="24"/>
        </w:rPr>
        <w:t xml:space="preserve"> sağlayacaktır.</w:t>
      </w:r>
    </w:p>
    <w:p w14:paraId="276581F1" w14:textId="77777777" w:rsidR="008C39D8" w:rsidRPr="005D1551" w:rsidRDefault="008C39D8" w:rsidP="008C39D8">
      <w:pPr>
        <w:spacing w:before="120" w:after="0" w:line="360" w:lineRule="auto"/>
        <w:ind w:left="284" w:firstLine="709"/>
        <w:jc w:val="both"/>
        <w:rPr>
          <w:rFonts w:ascii="Times New Roman" w:hAnsi="Times New Roman" w:cs="Times New Roman"/>
          <w:sz w:val="24"/>
          <w:szCs w:val="24"/>
        </w:rPr>
      </w:pPr>
      <w:r w:rsidRPr="005D1551">
        <w:rPr>
          <w:rFonts w:ascii="Times New Roman" w:hAnsi="Times New Roman" w:cs="Times New Roman"/>
          <w:b/>
          <w:sz w:val="24"/>
          <w:szCs w:val="24"/>
        </w:rPr>
        <w:t>Anahtar Kelimeler</w:t>
      </w:r>
      <w:r w:rsidRPr="005D1551">
        <w:rPr>
          <w:rFonts w:ascii="Times New Roman" w:hAnsi="Times New Roman" w:cs="Times New Roman"/>
          <w:sz w:val="24"/>
          <w:szCs w:val="24"/>
        </w:rPr>
        <w:t>: kronik hastalıklar, yaşam kalitesi, ilaç uyumu, ASOY</w:t>
      </w:r>
    </w:p>
    <w:p w14:paraId="24CB1AA4" w14:textId="151F10B4" w:rsidR="00181C1D" w:rsidRPr="005D1551" w:rsidRDefault="00181C1D" w:rsidP="00B55AE6">
      <w:pPr>
        <w:spacing w:before="120" w:line="360" w:lineRule="auto"/>
        <w:ind w:left="284" w:firstLine="919"/>
        <w:jc w:val="both"/>
        <w:rPr>
          <w:rFonts w:ascii="Times New Roman" w:hAnsi="Times New Roman" w:cs="Times New Roman"/>
          <w:b/>
          <w:sz w:val="24"/>
          <w:szCs w:val="24"/>
        </w:rPr>
      </w:pPr>
    </w:p>
    <w:p w14:paraId="63D0760C" w14:textId="51A6997C" w:rsidR="000F1119" w:rsidRPr="005D1551" w:rsidRDefault="000F1119" w:rsidP="00B55AE6">
      <w:pPr>
        <w:spacing w:before="120" w:line="360" w:lineRule="auto"/>
        <w:ind w:left="284" w:firstLine="919"/>
        <w:jc w:val="both"/>
        <w:rPr>
          <w:rFonts w:ascii="Times New Roman" w:hAnsi="Times New Roman" w:cs="Times New Roman"/>
          <w:b/>
          <w:sz w:val="24"/>
          <w:szCs w:val="24"/>
        </w:rPr>
      </w:pPr>
    </w:p>
    <w:p w14:paraId="7F5B036F" w14:textId="77777777" w:rsidR="000F1119" w:rsidRPr="005D1551" w:rsidRDefault="000F1119" w:rsidP="00B55AE6">
      <w:pPr>
        <w:spacing w:before="120" w:line="360" w:lineRule="auto"/>
        <w:ind w:left="284" w:firstLine="919"/>
        <w:jc w:val="both"/>
        <w:rPr>
          <w:rFonts w:ascii="Times New Roman" w:hAnsi="Times New Roman" w:cs="Times New Roman"/>
          <w:b/>
          <w:sz w:val="24"/>
          <w:szCs w:val="24"/>
        </w:rPr>
      </w:pPr>
    </w:p>
    <w:bookmarkEnd w:id="0"/>
    <w:p w14:paraId="50EA9750" w14:textId="43F839B8" w:rsidR="001F7355" w:rsidRPr="005D1551" w:rsidRDefault="001A14CA" w:rsidP="00B55AE6">
      <w:pPr>
        <w:spacing w:before="120" w:line="360" w:lineRule="auto"/>
        <w:ind w:left="284" w:firstLine="919"/>
        <w:contextualSpacing/>
        <w:jc w:val="both"/>
        <w:rPr>
          <w:rFonts w:ascii="Times New Roman" w:hAnsi="Times New Roman" w:cs="Times New Roman"/>
          <w:b/>
          <w:sz w:val="24"/>
          <w:szCs w:val="24"/>
        </w:rPr>
      </w:pPr>
      <w:r w:rsidRPr="005D1551">
        <w:rPr>
          <w:rFonts w:ascii="Times New Roman" w:hAnsi="Times New Roman" w:cs="Times New Roman"/>
          <w:b/>
          <w:sz w:val="24"/>
          <w:szCs w:val="24"/>
        </w:rPr>
        <w:t>GİRİŞ</w:t>
      </w:r>
    </w:p>
    <w:p w14:paraId="02198DF6" w14:textId="77777777" w:rsidR="00E03E95" w:rsidRPr="005D1551" w:rsidRDefault="00E03E95" w:rsidP="00B55AE6">
      <w:pPr>
        <w:spacing w:before="120" w:after="360" w:line="360" w:lineRule="auto"/>
        <w:ind w:left="284" w:firstLine="919"/>
        <w:contextualSpacing/>
        <w:jc w:val="both"/>
        <w:rPr>
          <w:rFonts w:ascii="Times New Roman" w:hAnsi="Times New Roman" w:cs="Times New Roman"/>
          <w:b/>
          <w:sz w:val="24"/>
          <w:szCs w:val="24"/>
          <w:u w:val="single"/>
        </w:rPr>
      </w:pPr>
      <w:r w:rsidRPr="005D1551">
        <w:rPr>
          <w:rFonts w:ascii="Times New Roman" w:hAnsi="Times New Roman" w:cs="Times New Roman"/>
          <w:sz w:val="24"/>
          <w:szCs w:val="24"/>
        </w:rPr>
        <w:t>Hastalar, sağlık sisteminin temel öğesi olup, bireylerin hastalıkları hakkında aldıkları kararlar, sağlık sonuçları ile verilen sağlık hizmetinin etkinliğini ve kalitesini önemli bir düzeyde etkilemektedir. Hastalar tarafından alınan kararlar ise daha çok sağlıkla ilgili becerileri, kapasiteleri ve bilgileri neticesinde oluşmaktadır. Bu durum literatürde ‘’sağlık okur-yazarlığı’’ olarak adlandırılmaktadır (1).</w:t>
      </w:r>
    </w:p>
    <w:p w14:paraId="0D21BBDF" w14:textId="264ACF56" w:rsidR="00E03E95" w:rsidRPr="005D1551" w:rsidRDefault="00E03E95" w:rsidP="00B55AE6">
      <w:pPr>
        <w:spacing w:before="120" w:after="360" w:line="360" w:lineRule="auto"/>
        <w:ind w:left="284" w:firstLine="919"/>
        <w:contextualSpacing/>
        <w:jc w:val="both"/>
        <w:rPr>
          <w:rFonts w:ascii="Times New Roman" w:hAnsi="Times New Roman" w:cs="Times New Roman"/>
          <w:sz w:val="24"/>
          <w:szCs w:val="24"/>
        </w:rPr>
      </w:pPr>
      <w:r w:rsidRPr="005D1551">
        <w:rPr>
          <w:rFonts w:ascii="Times New Roman" w:hAnsi="Times New Roman" w:cs="Times New Roman"/>
          <w:sz w:val="24"/>
          <w:szCs w:val="24"/>
        </w:rPr>
        <w:t>Sağlık okuryazarlığı, bireylerin sağlığı hakkında; bilgi arama, anlama ve onay verme, riskleri anlama yeteneğidir (</w:t>
      </w:r>
      <w:r w:rsidR="004F44CC">
        <w:rPr>
          <w:rFonts w:ascii="Times New Roman" w:hAnsi="Times New Roman" w:cs="Times New Roman"/>
          <w:sz w:val="24"/>
          <w:szCs w:val="24"/>
        </w:rPr>
        <w:t>2</w:t>
      </w:r>
      <w:r w:rsidRPr="005D1551">
        <w:rPr>
          <w:rFonts w:ascii="Times New Roman" w:hAnsi="Times New Roman" w:cs="Times New Roman"/>
          <w:sz w:val="24"/>
          <w:szCs w:val="24"/>
        </w:rPr>
        <w:t>). Sağlık okuryazarlığı ‘insanların sağlıklarıyla ilgili olarak günlük yaşamlarında karar almak, yaşam kalitelerini yükseltmek ve sürdürmek için sağlıklarını geliştirme ve hastalıklarını önleme amacıyla gerekli sağlık bilgisine erişme, anlama, değer biçme ve bilgiyi kullanmayı sağlayacak bilgi, motivasyon ve yeterliliktir’ şeklinde de tanımlanmıştır (</w:t>
      </w:r>
      <w:r w:rsidR="004F44CC">
        <w:rPr>
          <w:rFonts w:ascii="Times New Roman" w:hAnsi="Times New Roman" w:cs="Times New Roman"/>
          <w:sz w:val="24"/>
          <w:szCs w:val="24"/>
        </w:rPr>
        <w:t>3</w:t>
      </w:r>
      <w:r w:rsidRPr="005D1551">
        <w:rPr>
          <w:rFonts w:ascii="Times New Roman" w:hAnsi="Times New Roman" w:cs="Times New Roman"/>
          <w:sz w:val="24"/>
          <w:szCs w:val="24"/>
        </w:rPr>
        <w:t xml:space="preserve">). </w:t>
      </w:r>
    </w:p>
    <w:p w14:paraId="75762548" w14:textId="45D53A1C" w:rsidR="0012317D" w:rsidRDefault="00E03E95" w:rsidP="00B55AE6">
      <w:pPr>
        <w:spacing w:before="120" w:after="360" w:line="360" w:lineRule="auto"/>
        <w:ind w:left="284" w:firstLine="919"/>
        <w:contextualSpacing/>
        <w:jc w:val="both"/>
        <w:rPr>
          <w:rFonts w:ascii="Times New Roman" w:hAnsi="Times New Roman" w:cs="Times New Roman"/>
          <w:sz w:val="24"/>
          <w:szCs w:val="24"/>
        </w:rPr>
      </w:pPr>
      <w:r w:rsidRPr="005D1551">
        <w:rPr>
          <w:rFonts w:ascii="Times New Roman" w:hAnsi="Times New Roman" w:cs="Times New Roman"/>
          <w:sz w:val="24"/>
          <w:szCs w:val="24"/>
        </w:rPr>
        <w:t>Türkiye Nüfus ve Sağlık araştırması (TNSA 2013) verilerine göre ülkemizde nüfusun %8’ini oluşturan 65 yaş üstü bireylerin %25’inin en az bir kronik hastalığı bulunmaktadır (</w:t>
      </w:r>
      <w:r w:rsidR="004F44CC">
        <w:rPr>
          <w:rFonts w:ascii="Times New Roman" w:hAnsi="Times New Roman" w:cs="Times New Roman"/>
          <w:sz w:val="24"/>
          <w:szCs w:val="24"/>
        </w:rPr>
        <w:t>4</w:t>
      </w:r>
      <w:r w:rsidRPr="005D1551">
        <w:rPr>
          <w:rFonts w:ascii="Times New Roman" w:hAnsi="Times New Roman" w:cs="Times New Roman"/>
          <w:sz w:val="24"/>
          <w:szCs w:val="24"/>
        </w:rPr>
        <w:t>). Hastaya önemli ve karmaşık bir yük getiren, kronik hastalığın yönetiminde hastanın sağlık okuryazarlığı büyük bir öneme sahiptir (</w:t>
      </w:r>
      <w:r w:rsidR="004F44CC">
        <w:rPr>
          <w:rFonts w:ascii="Times New Roman" w:hAnsi="Times New Roman" w:cs="Times New Roman"/>
          <w:sz w:val="24"/>
          <w:szCs w:val="24"/>
        </w:rPr>
        <w:t>5</w:t>
      </w:r>
      <w:r w:rsidRPr="005D1551">
        <w:rPr>
          <w:rFonts w:ascii="Times New Roman" w:hAnsi="Times New Roman" w:cs="Times New Roman"/>
          <w:sz w:val="24"/>
          <w:szCs w:val="24"/>
        </w:rPr>
        <w:t>). Hastalık ve yetersizliğin olumsuz algılanması olarak tanımlanabilen düşük sağlık durumunun düşük sağlık okuryazarlık düzeyi ile doğrudan ilişkili olduğu belirtilmektedir (</w:t>
      </w:r>
      <w:r w:rsidR="004F44CC">
        <w:rPr>
          <w:rFonts w:ascii="Times New Roman" w:hAnsi="Times New Roman" w:cs="Times New Roman"/>
          <w:sz w:val="24"/>
          <w:szCs w:val="24"/>
        </w:rPr>
        <w:t>6</w:t>
      </w:r>
      <w:r w:rsidRPr="005D1551">
        <w:rPr>
          <w:rFonts w:ascii="Times New Roman" w:hAnsi="Times New Roman" w:cs="Times New Roman"/>
          <w:sz w:val="24"/>
          <w:szCs w:val="24"/>
        </w:rPr>
        <w:t xml:space="preserve">). </w:t>
      </w:r>
      <w:r w:rsidR="001011EA" w:rsidRPr="005D1551">
        <w:rPr>
          <w:rFonts w:ascii="Times New Roman" w:hAnsi="Times New Roman" w:cs="Times New Roman"/>
          <w:sz w:val="24"/>
          <w:szCs w:val="24"/>
        </w:rPr>
        <w:t>Yapılan çalışmalarda s</w:t>
      </w:r>
      <w:r w:rsidR="00AA781D" w:rsidRPr="005D1551">
        <w:rPr>
          <w:rFonts w:ascii="Times New Roman" w:hAnsi="Times New Roman" w:cs="Times New Roman"/>
          <w:sz w:val="24"/>
          <w:szCs w:val="24"/>
        </w:rPr>
        <w:t>ağlık okuryazarlığı düzeyi arttıkça diyabet komplikasyonlarının azaldığı, astım ve hipertansiyon nedenli ilaç kullanımına uyumun arttığı, sağ kalım oranları ve hastaneye başvuru sürelerinin ise azaldığı gösterilmiştir</w:t>
      </w:r>
      <w:r w:rsidR="001011EA" w:rsidRPr="005D1551">
        <w:rPr>
          <w:rFonts w:ascii="Times New Roman" w:hAnsi="Times New Roman" w:cs="Times New Roman"/>
          <w:sz w:val="24"/>
          <w:szCs w:val="24"/>
        </w:rPr>
        <w:t xml:space="preserve"> (</w:t>
      </w:r>
      <w:r w:rsidR="004F44CC">
        <w:rPr>
          <w:rFonts w:ascii="Times New Roman" w:hAnsi="Times New Roman" w:cs="Times New Roman"/>
          <w:sz w:val="24"/>
          <w:szCs w:val="24"/>
        </w:rPr>
        <w:t>7</w:t>
      </w:r>
      <w:r w:rsidR="001011EA" w:rsidRPr="005D1551">
        <w:rPr>
          <w:rFonts w:ascii="Times New Roman" w:hAnsi="Times New Roman" w:cs="Times New Roman"/>
          <w:sz w:val="24"/>
          <w:szCs w:val="24"/>
        </w:rPr>
        <w:t>-</w:t>
      </w:r>
      <w:r w:rsidR="004F44CC">
        <w:rPr>
          <w:rFonts w:ascii="Times New Roman" w:hAnsi="Times New Roman" w:cs="Times New Roman"/>
          <w:sz w:val="24"/>
          <w:szCs w:val="24"/>
        </w:rPr>
        <w:t>5</w:t>
      </w:r>
      <w:r w:rsidR="001011EA" w:rsidRPr="005D1551">
        <w:rPr>
          <w:rFonts w:ascii="Times New Roman" w:hAnsi="Times New Roman" w:cs="Times New Roman"/>
          <w:sz w:val="24"/>
          <w:szCs w:val="24"/>
        </w:rPr>
        <w:t>-</w:t>
      </w:r>
      <w:r w:rsidR="004F44CC">
        <w:rPr>
          <w:rFonts w:ascii="Times New Roman" w:hAnsi="Times New Roman" w:cs="Times New Roman"/>
          <w:sz w:val="24"/>
          <w:szCs w:val="24"/>
        </w:rPr>
        <w:t>8</w:t>
      </w:r>
      <w:r w:rsidR="001011EA" w:rsidRPr="005D1551">
        <w:rPr>
          <w:rFonts w:ascii="Times New Roman" w:hAnsi="Times New Roman" w:cs="Times New Roman"/>
          <w:sz w:val="24"/>
          <w:szCs w:val="24"/>
        </w:rPr>
        <w:t>-</w:t>
      </w:r>
      <w:r w:rsidR="004F44CC">
        <w:rPr>
          <w:rFonts w:ascii="Times New Roman" w:hAnsi="Times New Roman" w:cs="Times New Roman"/>
          <w:sz w:val="24"/>
          <w:szCs w:val="24"/>
        </w:rPr>
        <w:t>9</w:t>
      </w:r>
      <w:r w:rsidR="001011EA" w:rsidRPr="005D1551">
        <w:rPr>
          <w:rFonts w:ascii="Times New Roman" w:hAnsi="Times New Roman" w:cs="Times New Roman"/>
          <w:sz w:val="24"/>
          <w:szCs w:val="24"/>
        </w:rPr>
        <w:t>-1</w:t>
      </w:r>
      <w:r w:rsidR="004F44CC">
        <w:rPr>
          <w:rFonts w:ascii="Times New Roman" w:hAnsi="Times New Roman" w:cs="Times New Roman"/>
          <w:sz w:val="24"/>
          <w:szCs w:val="24"/>
        </w:rPr>
        <w:t>0</w:t>
      </w:r>
      <w:r w:rsidR="001011EA" w:rsidRPr="005D1551">
        <w:rPr>
          <w:rFonts w:ascii="Times New Roman" w:hAnsi="Times New Roman" w:cs="Times New Roman"/>
          <w:sz w:val="24"/>
          <w:szCs w:val="24"/>
        </w:rPr>
        <w:t xml:space="preserve">). </w:t>
      </w:r>
      <w:r w:rsidRPr="005D1551">
        <w:rPr>
          <w:rFonts w:ascii="Times New Roman" w:hAnsi="Times New Roman" w:cs="Times New Roman"/>
          <w:sz w:val="24"/>
          <w:szCs w:val="24"/>
        </w:rPr>
        <w:t>Bu çalışmada kronik hastalığı olan bireylerde sağlık okuryazarlığının yaşam kalitesi ve ilaç uyumu ile olan ilişkisinin incelenmesi amaçlanmaktadır.</w:t>
      </w:r>
    </w:p>
    <w:p w14:paraId="3EFECB3A" w14:textId="77777777" w:rsidR="005D1551" w:rsidRPr="005D1551" w:rsidRDefault="005D1551" w:rsidP="00B55AE6">
      <w:pPr>
        <w:spacing w:before="120" w:after="360" w:line="360" w:lineRule="auto"/>
        <w:ind w:left="284" w:firstLine="919"/>
        <w:contextualSpacing/>
        <w:jc w:val="both"/>
        <w:rPr>
          <w:rFonts w:ascii="Times New Roman" w:hAnsi="Times New Roman" w:cs="Times New Roman"/>
          <w:sz w:val="24"/>
          <w:szCs w:val="24"/>
        </w:rPr>
      </w:pPr>
    </w:p>
    <w:p w14:paraId="1017CEEF" w14:textId="77777777" w:rsidR="0081324D" w:rsidRPr="005D1551" w:rsidRDefault="0081324D" w:rsidP="0081324D">
      <w:pPr>
        <w:spacing w:before="120" w:after="360" w:line="360" w:lineRule="auto"/>
        <w:ind w:left="284" w:firstLine="919"/>
        <w:contextualSpacing/>
        <w:jc w:val="both"/>
        <w:rPr>
          <w:rFonts w:ascii="Times New Roman" w:hAnsi="Times New Roman" w:cs="Times New Roman"/>
          <w:b/>
          <w:sz w:val="24"/>
          <w:szCs w:val="24"/>
        </w:rPr>
      </w:pPr>
      <w:r w:rsidRPr="005D1551">
        <w:rPr>
          <w:rFonts w:ascii="Times New Roman" w:hAnsi="Times New Roman" w:cs="Times New Roman"/>
          <w:b/>
          <w:sz w:val="24"/>
          <w:szCs w:val="24"/>
        </w:rPr>
        <w:t>MATERYAL VE METOD</w:t>
      </w:r>
    </w:p>
    <w:p w14:paraId="4AEDD2DC" w14:textId="77777777" w:rsidR="005D1551" w:rsidRDefault="0081324D" w:rsidP="005D1551">
      <w:pPr>
        <w:spacing w:before="120" w:after="360" w:line="360" w:lineRule="auto"/>
        <w:ind w:left="284" w:firstLine="919"/>
        <w:contextualSpacing/>
        <w:jc w:val="both"/>
        <w:rPr>
          <w:rFonts w:ascii="Times New Roman" w:eastAsia="Times New Roman" w:hAnsi="Times New Roman" w:cs="Times New Roman"/>
          <w:b/>
          <w:sz w:val="24"/>
          <w:szCs w:val="24"/>
          <w:lang w:eastAsia="tr-TR"/>
        </w:rPr>
      </w:pPr>
      <w:r w:rsidRPr="005D1551">
        <w:rPr>
          <w:rFonts w:ascii="Times New Roman" w:eastAsia="Times New Roman" w:hAnsi="Times New Roman" w:cs="Times New Roman"/>
          <w:b/>
          <w:sz w:val="24"/>
          <w:szCs w:val="24"/>
          <w:lang w:eastAsia="tr-TR"/>
        </w:rPr>
        <w:t>Çalışma Tasarımı</w:t>
      </w:r>
    </w:p>
    <w:p w14:paraId="73BDE7FB" w14:textId="6978520E" w:rsidR="005D1551" w:rsidRDefault="00B70AAE" w:rsidP="005D1551">
      <w:pPr>
        <w:spacing w:before="120" w:after="360" w:line="360" w:lineRule="auto"/>
        <w:ind w:left="284" w:firstLine="919"/>
        <w:contextualSpacing/>
        <w:jc w:val="both"/>
        <w:rPr>
          <w:rFonts w:ascii="Times New Roman" w:hAnsi="Times New Roman" w:cs="Times New Roman"/>
          <w:sz w:val="24"/>
          <w:szCs w:val="24"/>
        </w:rPr>
      </w:pPr>
      <w:r w:rsidRPr="005D1551">
        <w:rPr>
          <w:rFonts w:ascii="Times New Roman" w:eastAsia="Times New Roman" w:hAnsi="Times New Roman" w:cs="Times New Roman"/>
          <w:sz w:val="24"/>
          <w:szCs w:val="24"/>
          <w:lang w:eastAsia="tr-TR"/>
        </w:rPr>
        <w:t>Çalışmamız</w:t>
      </w:r>
      <w:r w:rsidR="0081324D" w:rsidRPr="005D1551">
        <w:rPr>
          <w:rFonts w:ascii="Times New Roman" w:eastAsia="Times New Roman" w:hAnsi="Times New Roman" w:cs="Times New Roman"/>
          <w:sz w:val="24"/>
          <w:szCs w:val="24"/>
          <w:lang w:eastAsia="tr-TR"/>
        </w:rPr>
        <w:t xml:space="preserve">a </w:t>
      </w:r>
      <w:proofErr w:type="spellStart"/>
      <w:r w:rsidR="0005097F" w:rsidRPr="005D1551">
        <w:rPr>
          <w:rFonts w:ascii="Times New Roman" w:eastAsia="Times New Roman" w:hAnsi="Times New Roman" w:cs="Times New Roman"/>
          <w:sz w:val="24"/>
          <w:szCs w:val="24"/>
          <w:lang w:eastAsia="tr-TR"/>
        </w:rPr>
        <w:t>kesitsel</w:t>
      </w:r>
      <w:proofErr w:type="spellEnd"/>
      <w:r w:rsidR="0005097F" w:rsidRPr="005D1551">
        <w:rPr>
          <w:rFonts w:ascii="Times New Roman" w:eastAsia="Times New Roman" w:hAnsi="Times New Roman" w:cs="Times New Roman"/>
          <w:sz w:val="24"/>
          <w:szCs w:val="24"/>
          <w:lang w:eastAsia="tr-TR"/>
        </w:rPr>
        <w:t xml:space="preserve"> olarak </w:t>
      </w:r>
      <w:r w:rsidR="0081324D" w:rsidRPr="005D1551">
        <w:rPr>
          <w:rFonts w:ascii="Times New Roman" w:eastAsia="Times New Roman" w:hAnsi="Times New Roman" w:cs="Times New Roman"/>
          <w:sz w:val="24"/>
          <w:szCs w:val="24"/>
          <w:lang w:eastAsia="tr-TR"/>
        </w:rPr>
        <w:t xml:space="preserve">2018 yılı </w:t>
      </w:r>
      <w:r w:rsidR="0081324D" w:rsidRPr="005D1551">
        <w:rPr>
          <w:rFonts w:ascii="Times New Roman" w:eastAsia="Times New Roman" w:hAnsi="Times New Roman" w:cs="Times New Roman"/>
          <w:sz w:val="24"/>
          <w:szCs w:val="24"/>
          <w:shd w:val="clear" w:color="auto" w:fill="FFFFFF" w:themeFill="background1"/>
        </w:rPr>
        <w:t>Ocak-Nisan ayları arasında</w:t>
      </w:r>
      <w:r w:rsidRPr="005D1551">
        <w:rPr>
          <w:rFonts w:ascii="Times New Roman" w:eastAsia="Times New Roman" w:hAnsi="Times New Roman" w:cs="Times New Roman"/>
          <w:sz w:val="24"/>
          <w:szCs w:val="24"/>
          <w:lang w:eastAsia="tr-TR"/>
        </w:rPr>
        <w:t xml:space="preserve"> </w:t>
      </w:r>
      <w:r w:rsidRPr="005D1551">
        <w:rPr>
          <w:rFonts w:ascii="Times New Roman" w:eastAsia="TimesNewRomanPSMT" w:hAnsi="Times New Roman" w:cs="Times New Roman"/>
          <w:sz w:val="24"/>
          <w:szCs w:val="24"/>
        </w:rPr>
        <w:t>Atatürk Üniversitesi Tıp Fakültesi</w:t>
      </w:r>
      <w:r w:rsidR="0081324D" w:rsidRPr="005D1551">
        <w:rPr>
          <w:rFonts w:ascii="Times New Roman" w:eastAsia="TimesNewRomanPSMT" w:hAnsi="Times New Roman" w:cs="Times New Roman"/>
          <w:sz w:val="24"/>
          <w:szCs w:val="24"/>
        </w:rPr>
        <w:t>’ne bağlı</w:t>
      </w:r>
      <w:r w:rsidRPr="005D1551">
        <w:rPr>
          <w:rFonts w:ascii="Times New Roman" w:eastAsia="TimesNewRomanPSMT" w:hAnsi="Times New Roman" w:cs="Times New Roman"/>
          <w:sz w:val="24"/>
          <w:szCs w:val="24"/>
        </w:rPr>
        <w:t xml:space="preserve"> </w:t>
      </w:r>
      <w:r w:rsidRPr="005D1551">
        <w:rPr>
          <w:rFonts w:ascii="Times New Roman" w:eastAsia="Times New Roman" w:hAnsi="Times New Roman" w:cs="Times New Roman"/>
          <w:sz w:val="24"/>
          <w:szCs w:val="24"/>
          <w:shd w:val="clear" w:color="auto" w:fill="FFFFFF" w:themeFill="background1"/>
        </w:rPr>
        <w:t xml:space="preserve">Eğitim Aile Sağlığı Merkezi’ne (EASM) </w:t>
      </w:r>
      <w:r w:rsidRPr="005D1551">
        <w:rPr>
          <w:rFonts w:ascii="Times New Roman" w:eastAsia="TimesNewRomanPSMT" w:hAnsi="Times New Roman" w:cs="Times New Roman"/>
          <w:sz w:val="24"/>
          <w:szCs w:val="24"/>
        </w:rPr>
        <w:t>başvuran</w:t>
      </w:r>
      <w:r w:rsidRPr="005D1551">
        <w:rPr>
          <w:rFonts w:ascii="Times New Roman" w:eastAsia="Times New Roman" w:hAnsi="Times New Roman" w:cs="Times New Roman"/>
          <w:sz w:val="24"/>
          <w:szCs w:val="24"/>
          <w:shd w:val="clear" w:color="auto" w:fill="FFFFFF" w:themeFill="background1"/>
        </w:rPr>
        <w:t xml:space="preserve"> 545 hasta</w:t>
      </w:r>
      <w:r w:rsidR="0081324D" w:rsidRPr="005D1551">
        <w:rPr>
          <w:rFonts w:ascii="Times New Roman" w:eastAsia="Times New Roman" w:hAnsi="Times New Roman" w:cs="Times New Roman"/>
          <w:sz w:val="24"/>
          <w:szCs w:val="24"/>
          <w:shd w:val="clear" w:color="auto" w:fill="FFFFFF" w:themeFill="background1"/>
        </w:rPr>
        <w:t xml:space="preserve"> değerlendirildi</w:t>
      </w:r>
      <w:r w:rsidRPr="005D1551">
        <w:rPr>
          <w:rFonts w:ascii="Times New Roman" w:hAnsi="Times New Roman" w:cs="Times New Roman"/>
          <w:sz w:val="24"/>
          <w:szCs w:val="24"/>
        </w:rPr>
        <w:t>.</w:t>
      </w:r>
      <w:r w:rsidR="0081324D" w:rsidRPr="005D1551">
        <w:rPr>
          <w:rFonts w:ascii="Times New Roman" w:hAnsi="Times New Roman" w:cs="Times New Roman"/>
          <w:sz w:val="24"/>
          <w:szCs w:val="24"/>
        </w:rPr>
        <w:t xml:space="preserve"> En az bir kronik hastalığı olan</w:t>
      </w:r>
      <w:r w:rsidR="0005097F" w:rsidRPr="005D1551">
        <w:rPr>
          <w:rFonts w:ascii="Times New Roman" w:hAnsi="Times New Roman" w:cs="Times New Roman"/>
          <w:sz w:val="24"/>
          <w:szCs w:val="24"/>
        </w:rPr>
        <w:t xml:space="preserve"> </w:t>
      </w:r>
      <w:r w:rsidR="0005097F" w:rsidRPr="005D1551">
        <w:rPr>
          <w:rFonts w:ascii="Times New Roman" w:eastAsia="Times New Roman" w:hAnsi="Times New Roman" w:cs="Times New Roman"/>
          <w:sz w:val="24"/>
          <w:szCs w:val="24"/>
          <w:shd w:val="clear" w:color="auto" w:fill="FFFFFF" w:themeFill="background1"/>
        </w:rPr>
        <w:t xml:space="preserve">(diyabet, kronik akciğer hastalığı, </w:t>
      </w:r>
      <w:proofErr w:type="spellStart"/>
      <w:r w:rsidR="0005097F" w:rsidRPr="005D1551">
        <w:rPr>
          <w:rFonts w:ascii="Times New Roman" w:eastAsia="Times New Roman" w:hAnsi="Times New Roman" w:cs="Times New Roman"/>
          <w:sz w:val="24"/>
          <w:szCs w:val="24"/>
          <w:shd w:val="clear" w:color="auto" w:fill="FFFFFF" w:themeFill="background1"/>
        </w:rPr>
        <w:t>kardiovasküler</w:t>
      </w:r>
      <w:proofErr w:type="spellEnd"/>
      <w:r w:rsidR="0005097F" w:rsidRPr="005D1551">
        <w:rPr>
          <w:rFonts w:ascii="Times New Roman" w:eastAsia="Times New Roman" w:hAnsi="Times New Roman" w:cs="Times New Roman"/>
          <w:sz w:val="24"/>
          <w:szCs w:val="24"/>
          <w:shd w:val="clear" w:color="auto" w:fill="FFFFFF" w:themeFill="background1"/>
        </w:rPr>
        <w:t xml:space="preserve"> hastalık, kas-iskelet sistemi hastalıkları)</w:t>
      </w:r>
      <w:r w:rsidR="0081324D" w:rsidRPr="005D1551">
        <w:rPr>
          <w:rFonts w:ascii="Times New Roman" w:hAnsi="Times New Roman" w:cs="Times New Roman"/>
          <w:sz w:val="24"/>
          <w:szCs w:val="24"/>
        </w:rPr>
        <w:t>, 18 yaşından büyük ve okur-yazarlığı olan</w:t>
      </w:r>
      <w:r w:rsidRPr="005D1551">
        <w:rPr>
          <w:rFonts w:ascii="Times New Roman" w:hAnsi="Times New Roman" w:cs="Times New Roman"/>
          <w:sz w:val="24"/>
          <w:szCs w:val="24"/>
        </w:rPr>
        <w:t xml:space="preserve"> </w:t>
      </w:r>
      <w:r w:rsidR="0081324D" w:rsidRPr="005D1551">
        <w:rPr>
          <w:rFonts w:ascii="Times New Roman" w:hAnsi="Times New Roman" w:cs="Times New Roman"/>
          <w:sz w:val="24"/>
          <w:szCs w:val="24"/>
        </w:rPr>
        <w:t>hastalar çalışmaya dahil edildi.</w:t>
      </w:r>
      <w:r w:rsidR="0082420C" w:rsidRPr="005D1551">
        <w:rPr>
          <w:rFonts w:ascii="Times New Roman" w:hAnsi="Times New Roman" w:cs="Times New Roman"/>
          <w:sz w:val="24"/>
          <w:szCs w:val="24"/>
        </w:rPr>
        <w:t xml:space="preserve"> 18 yaş altı olan, okur-yazarlığı olmayan, </w:t>
      </w:r>
      <w:r w:rsidR="0082420C" w:rsidRPr="005D1551">
        <w:rPr>
          <w:rFonts w:ascii="Times New Roman" w:hAnsi="Times New Roman" w:cs="Times New Roman"/>
          <w:sz w:val="24"/>
          <w:szCs w:val="24"/>
        </w:rPr>
        <w:lastRenderedPageBreak/>
        <w:t xml:space="preserve">kognitif ve psikiyatrik bozukluğu olan, Türkçe bilmeyen ve sağlık çalışanı </w:t>
      </w:r>
      <w:proofErr w:type="gramStart"/>
      <w:r w:rsidR="0082420C" w:rsidRPr="005D1551">
        <w:rPr>
          <w:rFonts w:ascii="Times New Roman" w:hAnsi="Times New Roman" w:cs="Times New Roman"/>
          <w:sz w:val="24"/>
          <w:szCs w:val="24"/>
        </w:rPr>
        <w:t>yada</w:t>
      </w:r>
      <w:proofErr w:type="gramEnd"/>
      <w:r w:rsidR="0082420C" w:rsidRPr="005D1551">
        <w:rPr>
          <w:rFonts w:ascii="Times New Roman" w:hAnsi="Times New Roman" w:cs="Times New Roman"/>
          <w:sz w:val="24"/>
          <w:szCs w:val="24"/>
        </w:rPr>
        <w:t xml:space="preserve"> sağlıkla ilgili bir okulda öğrenci olan hastalar çalışma dışı bırakıldı.</w:t>
      </w:r>
      <w:r w:rsidR="0005097F" w:rsidRPr="005D1551">
        <w:rPr>
          <w:rFonts w:ascii="Times New Roman" w:hAnsi="Times New Roman" w:cs="Times New Roman"/>
          <w:sz w:val="24"/>
          <w:szCs w:val="24"/>
        </w:rPr>
        <w:t xml:space="preserve"> Kriterlere uygun 150 </w:t>
      </w:r>
      <w:proofErr w:type="gramStart"/>
      <w:r w:rsidR="0005097F" w:rsidRPr="005D1551">
        <w:rPr>
          <w:rFonts w:ascii="Times New Roman" w:hAnsi="Times New Roman" w:cs="Times New Roman"/>
          <w:sz w:val="24"/>
          <w:szCs w:val="24"/>
        </w:rPr>
        <w:t xml:space="preserve">hasta </w:t>
      </w:r>
      <w:r w:rsidR="0082420C" w:rsidRPr="005D1551">
        <w:rPr>
          <w:rFonts w:ascii="Times New Roman" w:eastAsia="Times New Roman" w:hAnsi="Times New Roman" w:cs="Times New Roman"/>
          <w:sz w:val="24"/>
          <w:szCs w:val="24"/>
          <w:lang w:eastAsia="tr-TR"/>
        </w:rPr>
        <w:t xml:space="preserve"> </w:t>
      </w:r>
      <w:r w:rsidR="0005097F" w:rsidRPr="005D1551">
        <w:rPr>
          <w:rFonts w:ascii="Times New Roman" w:eastAsia="Times New Roman" w:hAnsi="Times New Roman" w:cs="Times New Roman"/>
          <w:sz w:val="24"/>
          <w:szCs w:val="24"/>
          <w:lang w:eastAsia="tr-TR"/>
        </w:rPr>
        <w:t>çalışmaya</w:t>
      </w:r>
      <w:proofErr w:type="gramEnd"/>
      <w:r w:rsidR="0005097F" w:rsidRPr="005D1551">
        <w:rPr>
          <w:rFonts w:ascii="Times New Roman" w:eastAsia="Times New Roman" w:hAnsi="Times New Roman" w:cs="Times New Roman"/>
          <w:sz w:val="24"/>
          <w:szCs w:val="24"/>
          <w:lang w:eastAsia="tr-TR"/>
        </w:rPr>
        <w:t xml:space="preserve"> dahil edildi. </w:t>
      </w:r>
      <w:r w:rsidR="00E03E95" w:rsidRPr="005D1551">
        <w:rPr>
          <w:rFonts w:ascii="Times New Roman" w:eastAsia="Times New Roman" w:hAnsi="Times New Roman" w:cs="Times New Roman"/>
          <w:sz w:val="24"/>
          <w:szCs w:val="24"/>
          <w:lang w:eastAsia="tr-TR"/>
        </w:rPr>
        <w:t>Çalışma öncesi hastalara detaylı bilgi verildi ve yazılı olarak bilgilendirilmiş onam</w:t>
      </w:r>
      <w:r w:rsidR="0005097F" w:rsidRPr="005D1551">
        <w:rPr>
          <w:rFonts w:ascii="Times New Roman" w:eastAsia="Times New Roman" w:hAnsi="Times New Roman" w:cs="Times New Roman"/>
          <w:sz w:val="24"/>
          <w:szCs w:val="24"/>
          <w:lang w:eastAsia="tr-TR"/>
        </w:rPr>
        <w:t xml:space="preserve">ları </w:t>
      </w:r>
      <w:r w:rsidR="00E03E95" w:rsidRPr="005D1551">
        <w:rPr>
          <w:rFonts w:ascii="Times New Roman" w:eastAsia="Times New Roman" w:hAnsi="Times New Roman" w:cs="Times New Roman"/>
          <w:sz w:val="24"/>
          <w:szCs w:val="24"/>
          <w:lang w:eastAsia="tr-TR"/>
        </w:rPr>
        <w:t>alındı</w:t>
      </w:r>
      <w:r w:rsidRPr="005D1551">
        <w:rPr>
          <w:rFonts w:ascii="Times New Roman" w:eastAsia="Times New Roman" w:hAnsi="Times New Roman" w:cs="Times New Roman"/>
          <w:sz w:val="24"/>
          <w:szCs w:val="24"/>
          <w:lang w:eastAsia="tr-TR"/>
        </w:rPr>
        <w:t>.</w:t>
      </w:r>
      <w:r w:rsidRPr="005D1551">
        <w:rPr>
          <w:rFonts w:ascii="Times New Roman" w:hAnsi="Times New Roman" w:cs="Times New Roman"/>
          <w:sz w:val="24"/>
          <w:szCs w:val="24"/>
        </w:rPr>
        <w:t xml:space="preserve"> Atatürk Üniversitesi Tıp Fakültesi Klinik Araştırmalar Etik Kurulu’ndan ve Çalışmanın Aile Sağlığı Merkezleri’nde yapılmış olması sebebiyle Erzurum Halk Sağlığı Müdürlüğü’nden gerekli izin alındı.</w:t>
      </w:r>
      <w:r w:rsidR="008D16B8" w:rsidRPr="005D1551">
        <w:rPr>
          <w:rFonts w:ascii="Times New Roman" w:hAnsi="Times New Roman" w:cs="Times New Roman"/>
          <w:sz w:val="24"/>
          <w:szCs w:val="24"/>
        </w:rPr>
        <w:t xml:space="preserve"> Hastaların </w:t>
      </w:r>
      <w:proofErr w:type="spellStart"/>
      <w:r w:rsidR="008D16B8" w:rsidRPr="005D1551">
        <w:rPr>
          <w:rFonts w:ascii="Times New Roman" w:hAnsi="Times New Roman" w:cs="Times New Roman"/>
          <w:sz w:val="24"/>
          <w:szCs w:val="24"/>
        </w:rPr>
        <w:t>Hastaların</w:t>
      </w:r>
      <w:proofErr w:type="spellEnd"/>
      <w:r w:rsidR="008D16B8" w:rsidRPr="005D1551">
        <w:rPr>
          <w:rFonts w:ascii="Times New Roman" w:hAnsi="Times New Roman" w:cs="Times New Roman"/>
          <w:sz w:val="24"/>
          <w:szCs w:val="24"/>
        </w:rPr>
        <w:t xml:space="preserve"> yaşı, cinsiyeti, mesleği, medeni durumu, eğitim düzeyi, mevcut kronik hastalığı, düzenli olarak kullandığı ilaç veya ilaçlar, son bir yıl içinde EASM başvuru sayısı, son bir yıl içinde hastaneye başvuru sayısı, son bir yıl içerisinde hastaneye yatışının olup olmadığı ve son bir yıl içerisinde acil servis başvurusu olup olmadığı Bireysel Görüşme Formu adı altında değerlendirildi.</w:t>
      </w:r>
      <w:bookmarkStart w:id="2" w:name="_Toc12471080"/>
    </w:p>
    <w:p w14:paraId="47F0DC52" w14:textId="77777777" w:rsidR="005D1551" w:rsidRDefault="005D1551" w:rsidP="005D1551">
      <w:pPr>
        <w:spacing w:before="120" w:after="360" w:line="360" w:lineRule="auto"/>
        <w:ind w:left="284" w:firstLine="919"/>
        <w:contextualSpacing/>
        <w:jc w:val="both"/>
        <w:rPr>
          <w:rStyle w:val="Balk2Char"/>
          <w:rFonts w:ascii="Times New Roman" w:hAnsi="Times New Roman" w:cs="Times New Roman"/>
          <w:b/>
          <w:bCs/>
          <w:color w:val="auto"/>
          <w:sz w:val="24"/>
          <w:szCs w:val="24"/>
        </w:rPr>
      </w:pPr>
    </w:p>
    <w:p w14:paraId="41ED8C1C" w14:textId="77777777" w:rsidR="005D1551" w:rsidRDefault="00C53042" w:rsidP="005D1551">
      <w:pPr>
        <w:spacing w:before="120" w:after="360" w:line="360" w:lineRule="auto"/>
        <w:ind w:left="284" w:firstLine="919"/>
        <w:contextualSpacing/>
        <w:jc w:val="both"/>
        <w:rPr>
          <w:rStyle w:val="Balk2Char"/>
          <w:rFonts w:ascii="Times New Roman" w:hAnsi="Times New Roman" w:cs="Times New Roman"/>
          <w:b/>
          <w:bCs/>
          <w:color w:val="auto"/>
          <w:sz w:val="24"/>
          <w:szCs w:val="24"/>
        </w:rPr>
      </w:pPr>
      <w:r w:rsidRPr="005D1551">
        <w:rPr>
          <w:rStyle w:val="Balk2Char"/>
          <w:rFonts w:ascii="Times New Roman" w:hAnsi="Times New Roman" w:cs="Times New Roman"/>
          <w:b/>
          <w:bCs/>
          <w:color w:val="auto"/>
          <w:sz w:val="24"/>
          <w:szCs w:val="24"/>
        </w:rPr>
        <w:t>Avrupa Sağlık Okuryazarlığı Ölçeği Türkçe uyarlaması (ASOY-TR)</w:t>
      </w:r>
      <w:bookmarkEnd w:id="2"/>
    </w:p>
    <w:p w14:paraId="3A4AF970" w14:textId="576E6A36" w:rsidR="003F7173" w:rsidRPr="005D1551" w:rsidRDefault="00692324" w:rsidP="005D1551">
      <w:pPr>
        <w:spacing w:before="120" w:after="360" w:line="360" w:lineRule="auto"/>
        <w:ind w:left="284" w:firstLine="919"/>
        <w:contextualSpacing/>
        <w:jc w:val="both"/>
        <w:rPr>
          <w:rFonts w:ascii="Times New Roman" w:hAnsi="Times New Roman" w:cs="Times New Roman"/>
          <w:sz w:val="24"/>
          <w:szCs w:val="24"/>
        </w:rPr>
      </w:pPr>
      <w:r w:rsidRPr="005D1551">
        <w:rPr>
          <w:rFonts w:ascii="Times New Roman" w:hAnsi="Times New Roman" w:cs="Times New Roman"/>
          <w:sz w:val="24"/>
          <w:szCs w:val="24"/>
        </w:rPr>
        <w:t xml:space="preserve">Hastalar T.C. Sağlık Bakanlığı Sağlığın Geliştirilmesi Genel Müdürlüğü Sağlığın Teşviki Daire Başkanlığı tarafında Türkçeye uyarlanan ve </w:t>
      </w:r>
      <w:r w:rsidR="003F7173" w:rsidRPr="005D1551">
        <w:rPr>
          <w:rFonts w:ascii="Times New Roman" w:hAnsi="Times New Roman" w:cs="Times New Roman"/>
          <w:sz w:val="24"/>
          <w:szCs w:val="24"/>
        </w:rPr>
        <w:t xml:space="preserve">15 yaş üzerindeki bireylerde; kavramsal çerçeve, sağlıkla ilgili karar verme ve uygulamalar ile ilgili bilgi edinme süreçlerini içeren, </w:t>
      </w:r>
      <w:r w:rsidRPr="005D1551">
        <w:rPr>
          <w:rFonts w:ascii="Times New Roman" w:hAnsi="Times New Roman" w:cs="Times New Roman"/>
          <w:sz w:val="24"/>
          <w:szCs w:val="24"/>
        </w:rPr>
        <w:t>sağlık okur yazarlığını değerlendirme ölçeği olarak kullanılan ASOY-TR ile değerlendirildi.</w:t>
      </w:r>
      <w:r w:rsidR="001A7BAF" w:rsidRPr="005D1551">
        <w:rPr>
          <w:rFonts w:ascii="Times New Roman" w:hAnsi="Times New Roman" w:cs="Times New Roman"/>
          <w:sz w:val="24"/>
          <w:szCs w:val="24"/>
        </w:rPr>
        <w:t xml:space="preserve"> </w:t>
      </w:r>
      <w:r w:rsidR="00996B85" w:rsidRPr="005D1551">
        <w:rPr>
          <w:rFonts w:ascii="Times New Roman" w:hAnsi="Times New Roman" w:cs="Times New Roman"/>
          <w:sz w:val="24"/>
          <w:szCs w:val="24"/>
        </w:rPr>
        <w:t>47 madde</w:t>
      </w:r>
      <w:r w:rsidR="003F7173" w:rsidRPr="005D1551">
        <w:rPr>
          <w:rFonts w:ascii="Times New Roman" w:hAnsi="Times New Roman" w:cs="Times New Roman"/>
          <w:sz w:val="24"/>
          <w:szCs w:val="24"/>
        </w:rPr>
        <w:t>den oluşan ölçeğin</w:t>
      </w:r>
      <w:r w:rsidR="00996B85" w:rsidRPr="005D1551">
        <w:rPr>
          <w:rFonts w:ascii="Times New Roman" w:hAnsi="Times New Roman" w:cs="Times New Roman"/>
          <w:sz w:val="24"/>
          <w:szCs w:val="24"/>
        </w:rPr>
        <w:t xml:space="preserve"> kavramsal çerçevesi 12 boyuttan oluşmaktadır. Her</w:t>
      </w:r>
      <w:r w:rsidR="00F61948" w:rsidRPr="005D1551">
        <w:rPr>
          <w:rFonts w:ascii="Times New Roman" w:hAnsi="Times New Roman" w:cs="Times New Roman"/>
          <w:sz w:val="24"/>
          <w:szCs w:val="24"/>
        </w:rPr>
        <w:t xml:space="preserve"> </w:t>
      </w:r>
      <w:r w:rsidR="00996B85" w:rsidRPr="005D1551">
        <w:rPr>
          <w:rFonts w:ascii="Times New Roman" w:hAnsi="Times New Roman" w:cs="Times New Roman"/>
          <w:sz w:val="24"/>
          <w:szCs w:val="24"/>
        </w:rPr>
        <w:t xml:space="preserve">madde 1=Çok zor, 2=Zor, 3=Kolay, 4=Çok kolay olacak şekilde 4 derecelidir. “Bilmiyorum” ifadesi için 5 kodu kullanılmıştır. Ölçekten alınabilecek 23 toplam puan 47-188 arasındadır. Hesaplama kolaylığı açısından toplam puan 0-50 arası değer alacak şekilde standardize edilmiştir. </w:t>
      </w:r>
      <w:r w:rsidR="00A172C9" w:rsidRPr="005D1551">
        <w:rPr>
          <w:rFonts w:ascii="Times New Roman" w:hAnsi="Times New Roman" w:cs="Times New Roman"/>
          <w:sz w:val="24"/>
          <w:szCs w:val="24"/>
        </w:rPr>
        <w:t>Ölçekte 0 en düşük</w:t>
      </w:r>
      <w:r w:rsidR="00F61948" w:rsidRPr="005D1551">
        <w:rPr>
          <w:rFonts w:ascii="Times New Roman" w:hAnsi="Times New Roman" w:cs="Times New Roman"/>
          <w:sz w:val="24"/>
          <w:szCs w:val="24"/>
        </w:rPr>
        <w:t xml:space="preserve">, </w:t>
      </w:r>
      <w:r w:rsidR="00A172C9" w:rsidRPr="005D1551">
        <w:rPr>
          <w:rFonts w:ascii="Times New Roman" w:hAnsi="Times New Roman" w:cs="Times New Roman"/>
          <w:sz w:val="24"/>
          <w:szCs w:val="24"/>
        </w:rPr>
        <w:t>50 en yüksek sağlık okuryazarlığını göstermektedir.</w:t>
      </w:r>
      <w:r w:rsidR="00F61948" w:rsidRPr="005D1551">
        <w:rPr>
          <w:rFonts w:ascii="Times New Roman" w:hAnsi="Times New Roman" w:cs="Times New Roman"/>
          <w:sz w:val="24"/>
          <w:szCs w:val="24"/>
        </w:rPr>
        <w:t xml:space="preserve"> </w:t>
      </w:r>
      <w:r w:rsidR="00A172C9" w:rsidRPr="005D1551">
        <w:rPr>
          <w:rFonts w:ascii="Times New Roman" w:hAnsi="Times New Roman" w:cs="Times New Roman"/>
          <w:sz w:val="24"/>
          <w:szCs w:val="24"/>
        </w:rPr>
        <w:t>Sağlık okuryazarlığı düzeyi</w:t>
      </w:r>
      <w:r w:rsidR="003F7173" w:rsidRPr="005D1551">
        <w:rPr>
          <w:rFonts w:ascii="Times New Roman" w:hAnsi="Times New Roman" w:cs="Times New Roman"/>
          <w:sz w:val="24"/>
          <w:szCs w:val="24"/>
        </w:rPr>
        <w:t xml:space="preserve">; </w:t>
      </w:r>
    </w:p>
    <w:p w14:paraId="3645B2D3" w14:textId="4E58B2B9" w:rsidR="003F7173" w:rsidRPr="005D1551" w:rsidRDefault="00A172C9" w:rsidP="003F7173">
      <w:pPr>
        <w:spacing w:before="120" w:after="360" w:line="360" w:lineRule="auto"/>
        <w:ind w:left="284" w:firstLine="919"/>
        <w:contextualSpacing/>
        <w:jc w:val="both"/>
        <w:rPr>
          <w:rFonts w:ascii="Times New Roman" w:hAnsi="Times New Roman" w:cs="Times New Roman"/>
          <w:sz w:val="24"/>
          <w:szCs w:val="24"/>
        </w:rPr>
      </w:pPr>
      <w:r w:rsidRPr="005D1551">
        <w:rPr>
          <w:rFonts w:ascii="Times New Roman" w:hAnsi="Times New Roman" w:cs="Times New Roman"/>
          <w:sz w:val="24"/>
          <w:szCs w:val="24"/>
        </w:rPr>
        <w:t xml:space="preserve">0-25 puan: yetersiz </w:t>
      </w:r>
      <w:r w:rsidR="00C65B18" w:rsidRPr="005D1551">
        <w:rPr>
          <w:rFonts w:ascii="Times New Roman" w:hAnsi="Times New Roman" w:cs="Times New Roman"/>
          <w:sz w:val="24"/>
          <w:szCs w:val="24"/>
        </w:rPr>
        <w:t>sağlık okuryazarlığı</w:t>
      </w:r>
    </w:p>
    <w:p w14:paraId="705CA858" w14:textId="3BCD322F" w:rsidR="00A172C9" w:rsidRPr="005D1551" w:rsidRDefault="00A172C9" w:rsidP="003F7173">
      <w:pPr>
        <w:spacing w:before="120" w:after="360" w:line="360" w:lineRule="auto"/>
        <w:ind w:left="284" w:firstLine="919"/>
        <w:contextualSpacing/>
        <w:jc w:val="both"/>
        <w:rPr>
          <w:rFonts w:ascii="Times New Roman" w:hAnsi="Times New Roman" w:cs="Times New Roman"/>
          <w:sz w:val="24"/>
          <w:szCs w:val="24"/>
        </w:rPr>
      </w:pPr>
      <w:r w:rsidRPr="005D1551">
        <w:rPr>
          <w:rFonts w:ascii="Times New Roman" w:hAnsi="Times New Roman" w:cs="Times New Roman"/>
          <w:sz w:val="24"/>
          <w:szCs w:val="24"/>
        </w:rPr>
        <w:t xml:space="preserve">&gt;25-33 puan: sorunlu-sınırlı </w:t>
      </w:r>
      <w:r w:rsidR="00C65B18" w:rsidRPr="005D1551">
        <w:rPr>
          <w:rFonts w:ascii="Times New Roman" w:hAnsi="Times New Roman" w:cs="Times New Roman"/>
          <w:sz w:val="24"/>
          <w:szCs w:val="24"/>
        </w:rPr>
        <w:t>sağlık okuryazarlığı</w:t>
      </w:r>
    </w:p>
    <w:p w14:paraId="2DB31D7F" w14:textId="4A0AF9C8" w:rsidR="00A172C9" w:rsidRPr="005D1551" w:rsidRDefault="00A172C9" w:rsidP="003F7173">
      <w:pPr>
        <w:spacing w:before="120" w:after="0" w:line="360" w:lineRule="auto"/>
        <w:ind w:left="284" w:firstLine="919"/>
        <w:contextualSpacing/>
        <w:jc w:val="both"/>
        <w:rPr>
          <w:rFonts w:ascii="Times New Roman" w:hAnsi="Times New Roman" w:cs="Times New Roman"/>
          <w:sz w:val="24"/>
          <w:szCs w:val="24"/>
        </w:rPr>
      </w:pPr>
      <w:r w:rsidRPr="005D1551">
        <w:rPr>
          <w:rFonts w:ascii="Times New Roman" w:hAnsi="Times New Roman" w:cs="Times New Roman"/>
          <w:sz w:val="24"/>
          <w:szCs w:val="24"/>
        </w:rPr>
        <w:t xml:space="preserve">&gt;33-42 puan: yeterli </w:t>
      </w:r>
      <w:r w:rsidR="00C65B18" w:rsidRPr="005D1551">
        <w:rPr>
          <w:rFonts w:ascii="Times New Roman" w:hAnsi="Times New Roman" w:cs="Times New Roman"/>
          <w:sz w:val="24"/>
          <w:szCs w:val="24"/>
        </w:rPr>
        <w:t>sağlık okuryazarlığı</w:t>
      </w:r>
    </w:p>
    <w:p w14:paraId="3E415372" w14:textId="5B8B5F6F" w:rsidR="003F7173" w:rsidRPr="005D1551" w:rsidRDefault="00A172C9" w:rsidP="003F7173">
      <w:pPr>
        <w:spacing w:before="120" w:after="360" w:line="360" w:lineRule="auto"/>
        <w:ind w:left="284" w:firstLine="919"/>
        <w:contextualSpacing/>
        <w:jc w:val="both"/>
        <w:rPr>
          <w:rFonts w:ascii="Times New Roman" w:hAnsi="Times New Roman" w:cs="Times New Roman"/>
          <w:sz w:val="24"/>
          <w:szCs w:val="24"/>
        </w:rPr>
      </w:pPr>
      <w:r w:rsidRPr="005D1551">
        <w:rPr>
          <w:rFonts w:ascii="Times New Roman" w:hAnsi="Times New Roman" w:cs="Times New Roman"/>
          <w:sz w:val="24"/>
          <w:szCs w:val="24"/>
        </w:rPr>
        <w:t>&gt;42-50 puan: mükemmel</w:t>
      </w:r>
      <w:r w:rsidR="00C65B18" w:rsidRPr="005D1551">
        <w:rPr>
          <w:rFonts w:ascii="Times New Roman" w:hAnsi="Times New Roman" w:cs="Times New Roman"/>
          <w:sz w:val="24"/>
          <w:szCs w:val="24"/>
        </w:rPr>
        <w:t xml:space="preserve"> sağlık okuryazarlığı</w:t>
      </w:r>
    </w:p>
    <w:p w14:paraId="164D5B67" w14:textId="1696477B" w:rsidR="005D1551" w:rsidRPr="005D1551" w:rsidRDefault="00A172C9" w:rsidP="00B55AE6">
      <w:pPr>
        <w:spacing w:before="120" w:after="360" w:line="360" w:lineRule="auto"/>
        <w:ind w:left="284" w:firstLine="919"/>
        <w:contextualSpacing/>
        <w:jc w:val="both"/>
        <w:rPr>
          <w:rFonts w:ascii="Times New Roman" w:hAnsi="Times New Roman" w:cs="Times New Roman"/>
          <w:b/>
          <w:sz w:val="24"/>
          <w:szCs w:val="24"/>
        </w:rPr>
      </w:pPr>
      <w:r w:rsidRPr="005D1551">
        <w:rPr>
          <w:rFonts w:ascii="Times New Roman" w:hAnsi="Times New Roman" w:cs="Times New Roman"/>
          <w:sz w:val="24"/>
          <w:szCs w:val="24"/>
        </w:rPr>
        <w:t xml:space="preserve"> </w:t>
      </w:r>
      <w:bookmarkStart w:id="3" w:name="_Toc12471081"/>
      <w:proofErr w:type="gramStart"/>
      <w:r w:rsidR="003F7173" w:rsidRPr="005D1551">
        <w:rPr>
          <w:rFonts w:ascii="Times New Roman" w:hAnsi="Times New Roman" w:cs="Times New Roman"/>
          <w:sz w:val="24"/>
          <w:szCs w:val="24"/>
        </w:rPr>
        <w:t>olmak</w:t>
      </w:r>
      <w:proofErr w:type="gramEnd"/>
      <w:r w:rsidR="003F7173" w:rsidRPr="005D1551">
        <w:rPr>
          <w:rFonts w:ascii="Times New Roman" w:hAnsi="Times New Roman" w:cs="Times New Roman"/>
          <w:sz w:val="24"/>
          <w:szCs w:val="24"/>
        </w:rPr>
        <w:t xml:space="preserve"> üzere dört kategoride değerlendirilmiştir.</w:t>
      </w:r>
    </w:p>
    <w:p w14:paraId="263F25C7" w14:textId="77777777" w:rsidR="005D1551" w:rsidRPr="005D1551" w:rsidRDefault="005D1551" w:rsidP="00B55AE6">
      <w:pPr>
        <w:spacing w:before="120" w:after="360" w:line="360" w:lineRule="auto"/>
        <w:ind w:left="284" w:firstLine="919"/>
        <w:contextualSpacing/>
        <w:jc w:val="both"/>
        <w:rPr>
          <w:rFonts w:ascii="Times New Roman" w:hAnsi="Times New Roman" w:cs="Times New Roman"/>
          <w:b/>
          <w:sz w:val="24"/>
          <w:szCs w:val="24"/>
        </w:rPr>
      </w:pPr>
    </w:p>
    <w:p w14:paraId="0C5FA526" w14:textId="30B837BD" w:rsidR="00C53042" w:rsidRPr="005D1551" w:rsidRDefault="00C53042" w:rsidP="00B55AE6">
      <w:pPr>
        <w:spacing w:before="120" w:after="360" w:line="360" w:lineRule="auto"/>
        <w:ind w:left="284" w:firstLine="919"/>
        <w:contextualSpacing/>
        <w:jc w:val="both"/>
        <w:rPr>
          <w:rFonts w:ascii="Times New Roman" w:hAnsi="Times New Roman" w:cs="Times New Roman"/>
          <w:b/>
          <w:sz w:val="24"/>
          <w:szCs w:val="24"/>
        </w:rPr>
      </w:pPr>
      <w:r w:rsidRPr="005D1551">
        <w:rPr>
          <w:rFonts w:ascii="Times New Roman" w:hAnsi="Times New Roman" w:cs="Times New Roman"/>
          <w:b/>
          <w:sz w:val="24"/>
          <w:szCs w:val="24"/>
        </w:rPr>
        <w:t>SF-12 Kısa Sağlık Ölçeği</w:t>
      </w:r>
    </w:p>
    <w:bookmarkEnd w:id="3"/>
    <w:p w14:paraId="056A2E53" w14:textId="320E0827" w:rsidR="0084687C" w:rsidRPr="005D1551" w:rsidRDefault="00F205BB" w:rsidP="0084687C">
      <w:pPr>
        <w:spacing w:before="120" w:after="360" w:line="360" w:lineRule="auto"/>
        <w:ind w:left="284" w:firstLine="919"/>
        <w:contextualSpacing/>
        <w:jc w:val="both"/>
        <w:rPr>
          <w:rFonts w:ascii="Times New Roman" w:hAnsi="Times New Roman" w:cs="Times New Roman"/>
          <w:sz w:val="24"/>
          <w:szCs w:val="24"/>
        </w:rPr>
      </w:pPr>
      <w:r w:rsidRPr="005D1551">
        <w:rPr>
          <w:rFonts w:ascii="Times New Roman" w:hAnsi="Times New Roman" w:cs="Times New Roman"/>
          <w:sz w:val="24"/>
          <w:szCs w:val="24"/>
        </w:rPr>
        <w:t>Hastalara ayrıca g</w:t>
      </w:r>
      <w:r w:rsidR="00996B85" w:rsidRPr="005D1551">
        <w:rPr>
          <w:rFonts w:ascii="Times New Roman" w:hAnsi="Times New Roman" w:cs="Times New Roman"/>
          <w:sz w:val="24"/>
          <w:szCs w:val="24"/>
        </w:rPr>
        <w:t>enel sağlık kavramlarını içer</w:t>
      </w:r>
      <w:r w:rsidRPr="005D1551">
        <w:rPr>
          <w:rFonts w:ascii="Times New Roman" w:hAnsi="Times New Roman" w:cs="Times New Roman"/>
          <w:sz w:val="24"/>
          <w:szCs w:val="24"/>
        </w:rPr>
        <w:t>en,</w:t>
      </w:r>
      <w:r w:rsidR="00996B85" w:rsidRPr="005D1551">
        <w:rPr>
          <w:rFonts w:ascii="Times New Roman" w:hAnsi="Times New Roman" w:cs="Times New Roman"/>
          <w:sz w:val="24"/>
          <w:szCs w:val="24"/>
        </w:rPr>
        <w:t xml:space="preserve"> </w:t>
      </w:r>
      <w:r w:rsidRPr="005D1551">
        <w:rPr>
          <w:rFonts w:ascii="Times New Roman" w:hAnsi="Times New Roman" w:cs="Times New Roman"/>
          <w:sz w:val="24"/>
          <w:szCs w:val="24"/>
        </w:rPr>
        <w:t>s</w:t>
      </w:r>
      <w:r w:rsidR="00996B85" w:rsidRPr="005D1551">
        <w:rPr>
          <w:rFonts w:ascii="Times New Roman" w:hAnsi="Times New Roman" w:cs="Times New Roman"/>
          <w:sz w:val="24"/>
          <w:szCs w:val="24"/>
        </w:rPr>
        <w:t>ağlık durumunun olumlu ve olumsuz yönlerini değerlendirebil</w:t>
      </w:r>
      <w:r w:rsidRPr="005D1551">
        <w:rPr>
          <w:rFonts w:ascii="Times New Roman" w:hAnsi="Times New Roman" w:cs="Times New Roman"/>
          <w:sz w:val="24"/>
          <w:szCs w:val="24"/>
        </w:rPr>
        <w:t xml:space="preserve">en SF-12 Kısa Sağlık Ölçeği uygulandı. Bu ölçek </w:t>
      </w:r>
      <w:proofErr w:type="spellStart"/>
      <w:r w:rsidRPr="005D1551">
        <w:rPr>
          <w:rFonts w:ascii="Times New Roman" w:hAnsi="Times New Roman" w:cs="Times New Roman"/>
          <w:sz w:val="24"/>
          <w:szCs w:val="24"/>
        </w:rPr>
        <w:t>Ware</w:t>
      </w:r>
      <w:proofErr w:type="spellEnd"/>
      <w:r w:rsidRPr="005D1551">
        <w:rPr>
          <w:rFonts w:ascii="Times New Roman" w:hAnsi="Times New Roman" w:cs="Times New Roman"/>
          <w:sz w:val="24"/>
          <w:szCs w:val="24"/>
        </w:rPr>
        <w:t xml:space="preserve"> ve ark. tarafından geliştirilmiş</w:t>
      </w:r>
      <w:r w:rsidR="0061215F" w:rsidRPr="005D1551">
        <w:rPr>
          <w:rFonts w:ascii="Times New Roman" w:hAnsi="Times New Roman" w:cs="Times New Roman"/>
          <w:sz w:val="24"/>
          <w:szCs w:val="24"/>
        </w:rPr>
        <w:t>tir ve</w:t>
      </w:r>
      <w:r w:rsidRPr="005D1551">
        <w:rPr>
          <w:rFonts w:ascii="Times New Roman" w:hAnsi="Times New Roman" w:cs="Times New Roman"/>
          <w:sz w:val="24"/>
          <w:szCs w:val="24"/>
        </w:rPr>
        <w:t xml:space="preserve"> olup</w:t>
      </w:r>
      <w:r w:rsidR="0061215F" w:rsidRPr="005D1551">
        <w:rPr>
          <w:rFonts w:ascii="Times New Roman" w:hAnsi="Times New Roman" w:cs="Times New Roman"/>
          <w:sz w:val="24"/>
          <w:szCs w:val="24"/>
        </w:rPr>
        <w:t>; fiziksel fonksiyon, fiziksel sorunlara bağlı rol kısıtlaması</w:t>
      </w:r>
      <w:r w:rsidR="000027A7" w:rsidRPr="005D1551">
        <w:rPr>
          <w:rFonts w:ascii="Times New Roman" w:hAnsi="Times New Roman" w:cs="Times New Roman"/>
          <w:sz w:val="24"/>
          <w:szCs w:val="24"/>
        </w:rPr>
        <w:t xml:space="preserve">, </w:t>
      </w:r>
      <w:r w:rsidR="0061215F" w:rsidRPr="005D1551">
        <w:rPr>
          <w:rFonts w:ascii="Times New Roman" w:hAnsi="Times New Roman" w:cs="Times New Roman"/>
          <w:sz w:val="24"/>
          <w:szCs w:val="24"/>
        </w:rPr>
        <w:t xml:space="preserve">ağrı, sosyal fonksiyon, </w:t>
      </w:r>
      <w:proofErr w:type="spellStart"/>
      <w:r w:rsidR="0061215F" w:rsidRPr="005D1551">
        <w:rPr>
          <w:rFonts w:ascii="Times New Roman" w:hAnsi="Times New Roman" w:cs="Times New Roman"/>
          <w:sz w:val="24"/>
          <w:szCs w:val="24"/>
        </w:rPr>
        <w:t>mental</w:t>
      </w:r>
      <w:proofErr w:type="spellEnd"/>
      <w:r w:rsidR="0061215F" w:rsidRPr="005D1551">
        <w:rPr>
          <w:rFonts w:ascii="Times New Roman" w:hAnsi="Times New Roman" w:cs="Times New Roman"/>
          <w:sz w:val="24"/>
          <w:szCs w:val="24"/>
        </w:rPr>
        <w:t xml:space="preserve"> sağlık, </w:t>
      </w:r>
      <w:proofErr w:type="spellStart"/>
      <w:r w:rsidR="0061215F" w:rsidRPr="005D1551">
        <w:rPr>
          <w:rFonts w:ascii="Times New Roman" w:hAnsi="Times New Roman" w:cs="Times New Roman"/>
          <w:sz w:val="24"/>
          <w:szCs w:val="24"/>
        </w:rPr>
        <w:t>emosyonel</w:t>
      </w:r>
      <w:proofErr w:type="spellEnd"/>
      <w:r w:rsidR="0061215F" w:rsidRPr="005D1551">
        <w:rPr>
          <w:rFonts w:ascii="Times New Roman" w:hAnsi="Times New Roman" w:cs="Times New Roman"/>
          <w:sz w:val="24"/>
          <w:szCs w:val="24"/>
        </w:rPr>
        <w:t xml:space="preserve"> durumuna bağlı rol kısıtlamas</w:t>
      </w:r>
      <w:r w:rsidR="000027A7" w:rsidRPr="005D1551">
        <w:rPr>
          <w:rFonts w:ascii="Times New Roman" w:hAnsi="Times New Roman" w:cs="Times New Roman"/>
          <w:sz w:val="24"/>
          <w:szCs w:val="24"/>
        </w:rPr>
        <w:t>ı</w:t>
      </w:r>
      <w:r w:rsidR="0061215F" w:rsidRPr="005D1551">
        <w:rPr>
          <w:rFonts w:ascii="Times New Roman" w:hAnsi="Times New Roman" w:cs="Times New Roman"/>
          <w:sz w:val="24"/>
          <w:szCs w:val="24"/>
        </w:rPr>
        <w:t>, enerji ve genel sağlık anlayışı</w:t>
      </w:r>
      <w:r w:rsidR="000027A7" w:rsidRPr="005D1551">
        <w:rPr>
          <w:rFonts w:ascii="Times New Roman" w:hAnsi="Times New Roman" w:cs="Times New Roman"/>
          <w:sz w:val="24"/>
          <w:szCs w:val="24"/>
        </w:rPr>
        <w:t xml:space="preserve"> olarak 8 alt başlıkta değerlendirilen </w:t>
      </w:r>
      <w:r w:rsidR="00996B85" w:rsidRPr="005D1551">
        <w:rPr>
          <w:rFonts w:ascii="Times New Roman" w:hAnsi="Times New Roman" w:cs="Times New Roman"/>
          <w:sz w:val="24"/>
          <w:szCs w:val="24"/>
        </w:rPr>
        <w:t xml:space="preserve">SF-36’nın </w:t>
      </w:r>
      <w:r w:rsidR="000027A7" w:rsidRPr="005D1551">
        <w:rPr>
          <w:rFonts w:ascii="Times New Roman" w:hAnsi="Times New Roman" w:cs="Times New Roman"/>
          <w:sz w:val="24"/>
          <w:szCs w:val="24"/>
        </w:rPr>
        <w:t xml:space="preserve">modifikasyonu </w:t>
      </w:r>
      <w:r w:rsidR="000027A7" w:rsidRPr="005D1551">
        <w:rPr>
          <w:rFonts w:ascii="Times New Roman" w:hAnsi="Times New Roman" w:cs="Times New Roman"/>
          <w:sz w:val="24"/>
          <w:szCs w:val="24"/>
        </w:rPr>
        <w:lastRenderedPageBreak/>
        <w:t xml:space="preserve">ile oluşturulmuştur </w:t>
      </w:r>
      <w:r w:rsidRPr="005D1551">
        <w:rPr>
          <w:rFonts w:ascii="Times New Roman" w:hAnsi="Times New Roman" w:cs="Times New Roman"/>
          <w:sz w:val="24"/>
          <w:szCs w:val="24"/>
        </w:rPr>
        <w:t>(</w:t>
      </w:r>
      <w:r w:rsidR="004F44CC">
        <w:rPr>
          <w:rFonts w:ascii="Times New Roman" w:hAnsi="Times New Roman" w:cs="Times New Roman"/>
          <w:sz w:val="24"/>
          <w:szCs w:val="24"/>
        </w:rPr>
        <w:t>11</w:t>
      </w:r>
      <w:r w:rsidRPr="005D1551">
        <w:rPr>
          <w:rFonts w:ascii="Times New Roman" w:hAnsi="Times New Roman" w:cs="Times New Roman"/>
          <w:sz w:val="24"/>
          <w:szCs w:val="24"/>
        </w:rPr>
        <w:t>).</w:t>
      </w:r>
      <w:r w:rsidR="007202E4" w:rsidRPr="005D1551">
        <w:rPr>
          <w:rFonts w:ascii="Times New Roman" w:hAnsi="Times New Roman" w:cs="Times New Roman"/>
          <w:sz w:val="24"/>
          <w:szCs w:val="24"/>
        </w:rPr>
        <w:t xml:space="preserve"> </w:t>
      </w:r>
      <w:r w:rsidR="0084687C" w:rsidRPr="005D1551">
        <w:rPr>
          <w:rFonts w:ascii="Times New Roman" w:hAnsi="Times New Roman" w:cs="Times New Roman"/>
          <w:sz w:val="24"/>
          <w:szCs w:val="24"/>
        </w:rPr>
        <w:t>Bu ölçek</w:t>
      </w:r>
      <w:r w:rsidR="007202E4" w:rsidRPr="005D1551">
        <w:rPr>
          <w:rFonts w:ascii="Times New Roman" w:hAnsi="Times New Roman" w:cs="Times New Roman"/>
          <w:sz w:val="24"/>
          <w:szCs w:val="24"/>
        </w:rPr>
        <w:t xml:space="preserve"> sağlığı 0 ile 100 arasında değerlendirmekte ve 0 kötü sağlık durumunu gösterirken, 100 iyi sağlık durumuna işaret etmektedir (</w:t>
      </w:r>
      <w:r w:rsidR="0087344C">
        <w:rPr>
          <w:rFonts w:ascii="Times New Roman" w:hAnsi="Times New Roman" w:cs="Times New Roman"/>
          <w:sz w:val="24"/>
          <w:szCs w:val="24"/>
        </w:rPr>
        <w:t>12</w:t>
      </w:r>
      <w:r w:rsidR="007202E4" w:rsidRPr="005D1551">
        <w:rPr>
          <w:rFonts w:ascii="Times New Roman" w:hAnsi="Times New Roman" w:cs="Times New Roman"/>
          <w:sz w:val="24"/>
          <w:szCs w:val="24"/>
        </w:rPr>
        <w:t>)</w:t>
      </w:r>
      <w:r w:rsidR="0084687C" w:rsidRPr="005D1551">
        <w:rPr>
          <w:rFonts w:ascii="Times New Roman" w:hAnsi="Times New Roman" w:cs="Times New Roman"/>
          <w:sz w:val="24"/>
          <w:szCs w:val="24"/>
        </w:rPr>
        <w:t>.</w:t>
      </w:r>
      <w:bookmarkStart w:id="4" w:name="_Toc12471082"/>
    </w:p>
    <w:p w14:paraId="0D4AAAC5" w14:textId="77777777" w:rsidR="005D1551" w:rsidRDefault="005D1551" w:rsidP="0084687C">
      <w:pPr>
        <w:spacing w:before="120" w:after="360" w:line="360" w:lineRule="auto"/>
        <w:ind w:left="284" w:firstLine="919"/>
        <w:contextualSpacing/>
        <w:jc w:val="both"/>
        <w:rPr>
          <w:rFonts w:ascii="Times New Roman" w:hAnsi="Times New Roman" w:cs="Times New Roman"/>
          <w:b/>
          <w:sz w:val="24"/>
          <w:szCs w:val="24"/>
        </w:rPr>
      </w:pPr>
    </w:p>
    <w:p w14:paraId="7BDDF25B" w14:textId="5124D6A0" w:rsidR="00A172C9" w:rsidRPr="005D1551" w:rsidRDefault="00A172C9" w:rsidP="0084687C">
      <w:pPr>
        <w:spacing w:before="120" w:after="360" w:line="360" w:lineRule="auto"/>
        <w:ind w:left="284" w:firstLine="919"/>
        <w:contextualSpacing/>
        <w:jc w:val="both"/>
        <w:rPr>
          <w:rFonts w:ascii="Times New Roman" w:hAnsi="Times New Roman" w:cs="Times New Roman"/>
          <w:b/>
          <w:sz w:val="24"/>
          <w:szCs w:val="24"/>
        </w:rPr>
      </w:pPr>
      <w:proofErr w:type="spellStart"/>
      <w:r w:rsidRPr="005D1551">
        <w:rPr>
          <w:rFonts w:ascii="Times New Roman" w:hAnsi="Times New Roman" w:cs="Times New Roman"/>
          <w:b/>
          <w:sz w:val="24"/>
          <w:szCs w:val="24"/>
        </w:rPr>
        <w:t>Modifiye</w:t>
      </w:r>
      <w:proofErr w:type="spellEnd"/>
      <w:r w:rsidRPr="005D1551">
        <w:rPr>
          <w:rFonts w:ascii="Times New Roman" w:hAnsi="Times New Roman" w:cs="Times New Roman"/>
          <w:b/>
          <w:sz w:val="24"/>
          <w:szCs w:val="24"/>
        </w:rPr>
        <w:t xml:space="preserve"> </w:t>
      </w:r>
      <w:proofErr w:type="spellStart"/>
      <w:r w:rsidRPr="005D1551">
        <w:rPr>
          <w:rFonts w:ascii="Times New Roman" w:hAnsi="Times New Roman" w:cs="Times New Roman"/>
          <w:b/>
          <w:sz w:val="24"/>
          <w:szCs w:val="24"/>
        </w:rPr>
        <w:t>Morisky</w:t>
      </w:r>
      <w:proofErr w:type="spellEnd"/>
      <w:r w:rsidRPr="005D1551">
        <w:rPr>
          <w:rFonts w:ascii="Times New Roman" w:hAnsi="Times New Roman" w:cs="Times New Roman"/>
          <w:b/>
          <w:sz w:val="24"/>
          <w:szCs w:val="24"/>
        </w:rPr>
        <w:t xml:space="preserve"> Ölçeği</w:t>
      </w:r>
      <w:bookmarkEnd w:id="4"/>
    </w:p>
    <w:p w14:paraId="6A788268" w14:textId="078F5150" w:rsidR="00996B85" w:rsidRPr="005D1551" w:rsidRDefault="00505EB3" w:rsidP="00B55AE6">
      <w:pPr>
        <w:autoSpaceDE w:val="0"/>
        <w:autoSpaceDN w:val="0"/>
        <w:adjustRightInd w:val="0"/>
        <w:spacing w:before="120" w:after="360" w:line="360" w:lineRule="auto"/>
        <w:ind w:left="284" w:firstLine="919"/>
        <w:contextualSpacing/>
        <w:jc w:val="both"/>
        <w:rPr>
          <w:rFonts w:ascii="Times New Roman" w:eastAsia="TimesNewRomanPSMT" w:hAnsi="Times New Roman" w:cs="Times New Roman"/>
          <w:sz w:val="24"/>
          <w:szCs w:val="24"/>
        </w:rPr>
      </w:pPr>
      <w:r w:rsidRPr="005D1551">
        <w:rPr>
          <w:rFonts w:ascii="Times New Roman" w:eastAsia="TimesNewRomanPSMT" w:hAnsi="Times New Roman" w:cs="Times New Roman"/>
          <w:sz w:val="24"/>
          <w:szCs w:val="24"/>
        </w:rPr>
        <w:t xml:space="preserve">MMÖ, </w:t>
      </w:r>
      <w:proofErr w:type="spellStart"/>
      <w:r w:rsidR="00A172C9" w:rsidRPr="005D1551">
        <w:rPr>
          <w:rFonts w:ascii="Times New Roman" w:eastAsia="TimesNewRomanPSMT" w:hAnsi="Times New Roman" w:cs="Times New Roman"/>
          <w:sz w:val="24"/>
          <w:szCs w:val="24"/>
        </w:rPr>
        <w:t>antihipertansif</w:t>
      </w:r>
      <w:proofErr w:type="spellEnd"/>
      <w:r w:rsidR="00A172C9" w:rsidRPr="005D1551">
        <w:rPr>
          <w:rFonts w:ascii="Times New Roman" w:eastAsia="TimesNewRomanPSMT" w:hAnsi="Times New Roman" w:cs="Times New Roman"/>
          <w:sz w:val="24"/>
          <w:szCs w:val="24"/>
        </w:rPr>
        <w:t xml:space="preserve"> ilaç tedavisine uyumu değerlendirmede aile hekimlerine yardımcı olmak üzere </w:t>
      </w:r>
      <w:r w:rsidRPr="005D1551">
        <w:rPr>
          <w:rFonts w:ascii="Times New Roman" w:eastAsia="TimesNewRomanPSMT" w:hAnsi="Times New Roman" w:cs="Times New Roman"/>
          <w:sz w:val="24"/>
          <w:szCs w:val="24"/>
        </w:rPr>
        <w:t xml:space="preserve">altı </w:t>
      </w:r>
      <w:r w:rsidR="00A172C9" w:rsidRPr="005D1551">
        <w:rPr>
          <w:rFonts w:ascii="Times New Roman" w:eastAsia="TimesNewRomanPSMT" w:hAnsi="Times New Roman" w:cs="Times New Roman"/>
          <w:sz w:val="24"/>
          <w:szCs w:val="24"/>
        </w:rPr>
        <w:t>soruluk bir anket</w:t>
      </w:r>
      <w:r w:rsidRPr="005D1551">
        <w:rPr>
          <w:rFonts w:ascii="Times New Roman" w:eastAsia="TimesNewRomanPSMT" w:hAnsi="Times New Roman" w:cs="Times New Roman"/>
          <w:sz w:val="24"/>
          <w:szCs w:val="24"/>
        </w:rPr>
        <w:t>tir</w:t>
      </w:r>
      <w:r w:rsidR="00996B85" w:rsidRPr="005D1551">
        <w:rPr>
          <w:rFonts w:ascii="Times New Roman" w:eastAsia="TimesNewRomanPSMT" w:hAnsi="Times New Roman" w:cs="Times New Roman"/>
          <w:sz w:val="24"/>
          <w:szCs w:val="24"/>
        </w:rPr>
        <w:t>. Her soru “evet” ya da “hayır” olarak cevaplanmaktadır. Değerlendirmede; 2 ve 5. sorularda evet 1 puan, hayır 0 puan; diğer sorularda evet 0 puan, hayır 1 puandır. 1. 2. ve 6. sorulardan hastanın aldığı toplam puan 0 veya 1 ise düşük motivasyon düzeyini, &gt;1 ise yüksek motivasyon düzeyini göstermektedir. 3.,4. ve 5. sorulardan aldığı toplam puan 0 veya 1 ise düşük bilgi düzeyini, &gt;1 ise yüksek bilgi düzeyini</w:t>
      </w:r>
      <w:r w:rsidR="00996B85" w:rsidRPr="005D1551">
        <w:rPr>
          <w:rFonts w:ascii="Times New Roman" w:eastAsia="TRTimesNewRoman" w:hAnsi="Times New Roman" w:cs="Times New Roman"/>
          <w:sz w:val="24"/>
          <w:szCs w:val="24"/>
        </w:rPr>
        <w:t xml:space="preserve"> </w:t>
      </w:r>
      <w:r w:rsidR="00996B85" w:rsidRPr="005D1551">
        <w:rPr>
          <w:rFonts w:ascii="Times New Roman" w:eastAsia="TimesNewRomanPSMT" w:hAnsi="Times New Roman" w:cs="Times New Roman"/>
          <w:sz w:val="24"/>
          <w:szCs w:val="24"/>
        </w:rPr>
        <w:t xml:space="preserve">göstermektedir </w:t>
      </w:r>
      <w:r w:rsidR="00996B85" w:rsidRPr="005D1551">
        <w:rPr>
          <w:rFonts w:ascii="Times New Roman" w:eastAsia="TimesNewRomanPSMT" w:hAnsi="Times New Roman" w:cs="Times New Roman"/>
          <w:sz w:val="24"/>
          <w:szCs w:val="24"/>
        </w:rPr>
        <w:fldChar w:fldCharType="begin"/>
      </w:r>
      <w:r w:rsidR="00996B85" w:rsidRPr="005D1551">
        <w:rPr>
          <w:rFonts w:ascii="Times New Roman" w:eastAsia="TimesNewRomanPSMT" w:hAnsi="Times New Roman" w:cs="Times New Roman"/>
          <w:sz w:val="24"/>
          <w:szCs w:val="24"/>
        </w:rPr>
        <w:instrText xml:space="preserve"> ADDIN EN.CITE &lt;EndNote&gt;&lt;Cite&gt;&lt;Author&gt;Vural&lt;/Author&gt;&lt;Year&gt;2012&lt;/Year&gt;&lt;RecNum&gt;48&lt;/RecNum&gt;&lt;DisplayText&gt;(48)&lt;/DisplayText&gt;&lt;record&gt;&lt;rec-number&gt;48&lt;/rec-number&gt;&lt;foreign-keys&gt;&lt;key app="EN" db-id="deetxpfzmxz9vge5evap9w2wtf5ret59dp02" timestamp="1527346155"&gt;48&lt;/key&gt;&lt;/foreign-keys&gt;&lt;ref-type name="Journal Article"&gt;17&lt;/ref-type&gt;&lt;contributors&gt;&lt;authors&gt;&lt;author&gt;Vural, Bekir&lt;/author&gt;&lt;author&gt;Acar, Özgür Teberru&lt;/author&gt;&lt;author&gt;Topsever, Pınar&lt;/author&gt;&lt;author&gt;Filiz, T Müge&lt;/author&gt;&lt;/authors&gt;&lt;/contributors&gt;&lt;titles&gt;&lt;title&gt;Modifiye Morisky Ölçeğinin Türkçe geçerlilik güvenilirlik çalışması&lt;/title&gt;&lt;secondary-title&gt;The Journal of Turkish Family Physician&lt;/secondary-title&gt;&lt;/titles&gt;&lt;periodical&gt;&lt;full-title&gt;The Journal of Turkish Family Physician&lt;/full-title&gt;&lt;/periodical&gt;&lt;pages&gt;17-20&lt;/pages&gt;&lt;volume&gt;3&lt;/volume&gt;&lt;number&gt;4&lt;/number&gt;&lt;dates&gt;&lt;year&gt;2012&lt;/year&gt;&lt;/dates&gt;&lt;isbn&gt;1308-531X&lt;/isbn&gt;&lt;urls&gt;&lt;/urls&gt;&lt;/record&gt;&lt;/Cite&gt;&lt;/EndNote&gt;</w:instrText>
      </w:r>
      <w:r w:rsidR="00996B85" w:rsidRPr="005D1551">
        <w:rPr>
          <w:rFonts w:ascii="Times New Roman" w:eastAsia="TimesNewRomanPSMT" w:hAnsi="Times New Roman" w:cs="Times New Roman"/>
          <w:sz w:val="24"/>
          <w:szCs w:val="24"/>
        </w:rPr>
        <w:fldChar w:fldCharType="separate"/>
      </w:r>
      <w:r w:rsidR="00996B85" w:rsidRPr="005D1551">
        <w:rPr>
          <w:rFonts w:ascii="Times New Roman" w:eastAsia="TimesNewRomanPSMT" w:hAnsi="Times New Roman" w:cs="Times New Roman"/>
          <w:sz w:val="24"/>
          <w:szCs w:val="24"/>
        </w:rPr>
        <w:t>(</w:t>
      </w:r>
      <w:r w:rsidR="0087344C">
        <w:rPr>
          <w:rFonts w:ascii="Times New Roman" w:eastAsia="TimesNewRomanPSMT" w:hAnsi="Times New Roman" w:cs="Times New Roman"/>
          <w:sz w:val="24"/>
          <w:szCs w:val="24"/>
        </w:rPr>
        <w:t>13</w:t>
      </w:r>
      <w:r w:rsidR="00996B85" w:rsidRPr="005D1551">
        <w:rPr>
          <w:rFonts w:ascii="Times New Roman" w:eastAsia="TimesNewRomanPSMT" w:hAnsi="Times New Roman" w:cs="Times New Roman"/>
          <w:sz w:val="24"/>
          <w:szCs w:val="24"/>
        </w:rPr>
        <w:t>)</w:t>
      </w:r>
      <w:r w:rsidR="00996B85" w:rsidRPr="005D1551">
        <w:rPr>
          <w:rFonts w:ascii="Times New Roman" w:eastAsia="TimesNewRomanPSMT" w:hAnsi="Times New Roman" w:cs="Times New Roman"/>
          <w:sz w:val="24"/>
          <w:szCs w:val="24"/>
        </w:rPr>
        <w:fldChar w:fldCharType="end"/>
      </w:r>
      <w:r w:rsidR="00996B85" w:rsidRPr="005D1551">
        <w:rPr>
          <w:rFonts w:ascii="Times New Roman" w:eastAsia="TimesNewRomanPSMT" w:hAnsi="Times New Roman" w:cs="Times New Roman"/>
          <w:sz w:val="24"/>
          <w:szCs w:val="24"/>
        </w:rPr>
        <w:t>. Ayrıca ölçekten 4 ve üzeri puan alan hastalar ilaç uyumu yüksek olarak değerlendirilirken; 3 ve altında puan alanlar ise uyumsuz olarak değerlendirilmek</w:t>
      </w:r>
      <w:r w:rsidRPr="005D1551">
        <w:rPr>
          <w:rFonts w:ascii="Times New Roman" w:eastAsia="TimesNewRomanPSMT" w:hAnsi="Times New Roman" w:cs="Times New Roman"/>
          <w:sz w:val="24"/>
          <w:szCs w:val="24"/>
        </w:rPr>
        <w:t>tedir.</w:t>
      </w:r>
      <w:r w:rsidR="00996B85" w:rsidRPr="005D1551">
        <w:rPr>
          <w:rFonts w:ascii="Times New Roman" w:eastAsia="TimesNewRomanPSMT" w:hAnsi="Times New Roman" w:cs="Times New Roman"/>
          <w:sz w:val="24"/>
          <w:szCs w:val="24"/>
        </w:rPr>
        <w:t xml:space="preserve"> </w:t>
      </w:r>
    </w:p>
    <w:p w14:paraId="40375826" w14:textId="75DB2948" w:rsidR="00A20407" w:rsidRPr="005D1551" w:rsidRDefault="00380C9D" w:rsidP="00B55AE6">
      <w:pPr>
        <w:autoSpaceDE w:val="0"/>
        <w:autoSpaceDN w:val="0"/>
        <w:adjustRightInd w:val="0"/>
        <w:spacing w:before="120" w:after="360" w:line="360" w:lineRule="auto"/>
        <w:ind w:left="284" w:firstLine="919"/>
        <w:contextualSpacing/>
        <w:jc w:val="both"/>
        <w:rPr>
          <w:rFonts w:ascii="Times New Roman" w:eastAsia="TimesNewRomanPSMT" w:hAnsi="Times New Roman" w:cs="Times New Roman"/>
          <w:b/>
          <w:sz w:val="24"/>
          <w:szCs w:val="24"/>
        </w:rPr>
      </w:pPr>
      <w:r w:rsidRPr="005D1551">
        <w:rPr>
          <w:rFonts w:ascii="Times New Roman" w:eastAsia="TimesNewRomanPSMT" w:hAnsi="Times New Roman" w:cs="Times New Roman"/>
          <w:b/>
          <w:sz w:val="24"/>
          <w:szCs w:val="24"/>
        </w:rPr>
        <w:t>İstatistiksel Analiz</w:t>
      </w:r>
    </w:p>
    <w:p w14:paraId="0DC08CE4" w14:textId="0485F799" w:rsidR="005D1551" w:rsidRPr="005D1551" w:rsidRDefault="00996B85" w:rsidP="00B55AE6">
      <w:pPr>
        <w:spacing w:before="120" w:after="360" w:line="360" w:lineRule="auto"/>
        <w:ind w:left="284" w:firstLine="919"/>
        <w:contextualSpacing/>
        <w:jc w:val="both"/>
        <w:rPr>
          <w:rFonts w:ascii="Times New Roman" w:hAnsi="Times New Roman" w:cs="Times New Roman"/>
          <w:b/>
          <w:sz w:val="24"/>
          <w:szCs w:val="24"/>
        </w:rPr>
      </w:pPr>
      <w:r w:rsidRPr="005D1551">
        <w:rPr>
          <w:rFonts w:ascii="Times New Roman" w:hAnsi="Times New Roman" w:cs="Times New Roman"/>
          <w:sz w:val="24"/>
          <w:szCs w:val="24"/>
        </w:rPr>
        <w:t xml:space="preserve"> Çalışmanın verileri SPSS 23.0.0 (Statistical </w:t>
      </w:r>
      <w:proofErr w:type="spellStart"/>
      <w:r w:rsidRPr="005D1551">
        <w:rPr>
          <w:rFonts w:ascii="Times New Roman" w:hAnsi="Times New Roman" w:cs="Times New Roman"/>
          <w:sz w:val="24"/>
          <w:szCs w:val="24"/>
        </w:rPr>
        <w:t>Package</w:t>
      </w:r>
      <w:proofErr w:type="spellEnd"/>
      <w:r w:rsidRPr="005D1551">
        <w:rPr>
          <w:rFonts w:ascii="Times New Roman" w:hAnsi="Times New Roman" w:cs="Times New Roman"/>
          <w:sz w:val="24"/>
          <w:szCs w:val="24"/>
        </w:rPr>
        <w:t xml:space="preserve"> </w:t>
      </w:r>
      <w:proofErr w:type="spellStart"/>
      <w:r w:rsidRPr="005D1551">
        <w:rPr>
          <w:rFonts w:ascii="Times New Roman" w:hAnsi="Times New Roman" w:cs="Times New Roman"/>
          <w:sz w:val="24"/>
          <w:szCs w:val="24"/>
        </w:rPr>
        <w:t>for</w:t>
      </w:r>
      <w:proofErr w:type="spellEnd"/>
      <w:r w:rsidRPr="005D1551">
        <w:rPr>
          <w:rFonts w:ascii="Times New Roman" w:hAnsi="Times New Roman" w:cs="Times New Roman"/>
          <w:sz w:val="24"/>
          <w:szCs w:val="24"/>
        </w:rPr>
        <w:t xml:space="preserve"> </w:t>
      </w:r>
      <w:proofErr w:type="spellStart"/>
      <w:r w:rsidRPr="005D1551">
        <w:rPr>
          <w:rFonts w:ascii="Times New Roman" w:hAnsi="Times New Roman" w:cs="Times New Roman"/>
          <w:sz w:val="24"/>
          <w:szCs w:val="24"/>
        </w:rPr>
        <w:t>Social</w:t>
      </w:r>
      <w:proofErr w:type="spellEnd"/>
      <w:r w:rsidRPr="005D1551">
        <w:rPr>
          <w:rFonts w:ascii="Times New Roman" w:hAnsi="Times New Roman" w:cs="Times New Roman"/>
          <w:sz w:val="24"/>
          <w:szCs w:val="24"/>
        </w:rPr>
        <w:t xml:space="preserve"> </w:t>
      </w:r>
      <w:proofErr w:type="spellStart"/>
      <w:r w:rsidRPr="005D1551">
        <w:rPr>
          <w:rFonts w:ascii="Times New Roman" w:hAnsi="Times New Roman" w:cs="Times New Roman"/>
          <w:sz w:val="24"/>
          <w:szCs w:val="24"/>
        </w:rPr>
        <w:t>Sciences</w:t>
      </w:r>
      <w:proofErr w:type="spellEnd"/>
      <w:r w:rsidRPr="005D1551">
        <w:rPr>
          <w:rFonts w:ascii="Times New Roman" w:hAnsi="Times New Roman" w:cs="Times New Roman"/>
          <w:sz w:val="24"/>
          <w:szCs w:val="24"/>
        </w:rPr>
        <w:t xml:space="preserve">) programı ile analiz edildi. Verilerin değerlendirilmesinde önce tanımlayıcı istatistikler yapıldı. Tanımlayıcı istatistikler, ortalama ± standart sapma ve n (%) olarak verildi. Gruplar arasında numerik verilerin farkının belirlenmesinde </w:t>
      </w:r>
      <w:proofErr w:type="spellStart"/>
      <w:r w:rsidRPr="005D1551">
        <w:rPr>
          <w:rFonts w:ascii="Times New Roman" w:hAnsi="Times New Roman" w:cs="Times New Roman"/>
          <w:sz w:val="24"/>
          <w:szCs w:val="24"/>
        </w:rPr>
        <w:t>Student</w:t>
      </w:r>
      <w:proofErr w:type="spellEnd"/>
      <w:r w:rsidRPr="005D1551">
        <w:rPr>
          <w:rFonts w:ascii="Times New Roman" w:hAnsi="Times New Roman" w:cs="Times New Roman"/>
          <w:sz w:val="24"/>
          <w:szCs w:val="24"/>
        </w:rPr>
        <w:t xml:space="preserve">-t </w:t>
      </w:r>
      <w:r w:rsidR="00435694" w:rsidRPr="005D1551">
        <w:rPr>
          <w:rFonts w:ascii="Times New Roman" w:hAnsi="Times New Roman" w:cs="Times New Roman"/>
          <w:sz w:val="24"/>
          <w:szCs w:val="24"/>
        </w:rPr>
        <w:t>T</w:t>
      </w:r>
      <w:r w:rsidRPr="005D1551">
        <w:rPr>
          <w:rFonts w:ascii="Times New Roman" w:hAnsi="Times New Roman" w:cs="Times New Roman"/>
          <w:sz w:val="24"/>
          <w:szCs w:val="24"/>
        </w:rPr>
        <w:t>esti</w:t>
      </w:r>
      <w:r w:rsidR="008E682E" w:rsidRPr="005D1551">
        <w:rPr>
          <w:rFonts w:ascii="Times New Roman" w:hAnsi="Times New Roman" w:cs="Times New Roman"/>
          <w:sz w:val="24"/>
          <w:szCs w:val="24"/>
        </w:rPr>
        <w:t xml:space="preserve">, </w:t>
      </w:r>
      <w:r w:rsidRPr="005D1551">
        <w:rPr>
          <w:rFonts w:ascii="Times New Roman" w:hAnsi="Times New Roman" w:cs="Times New Roman"/>
          <w:sz w:val="24"/>
          <w:szCs w:val="24"/>
        </w:rPr>
        <w:t xml:space="preserve">kategorik verilerin karşılaştırılmasında Ki-kare </w:t>
      </w:r>
      <w:r w:rsidR="00435694" w:rsidRPr="005D1551">
        <w:rPr>
          <w:rFonts w:ascii="Times New Roman" w:hAnsi="Times New Roman" w:cs="Times New Roman"/>
          <w:sz w:val="24"/>
          <w:szCs w:val="24"/>
        </w:rPr>
        <w:t>T</w:t>
      </w:r>
      <w:r w:rsidRPr="005D1551">
        <w:rPr>
          <w:rFonts w:ascii="Times New Roman" w:hAnsi="Times New Roman" w:cs="Times New Roman"/>
          <w:sz w:val="24"/>
          <w:szCs w:val="24"/>
        </w:rPr>
        <w:t xml:space="preserve">esti </w:t>
      </w:r>
      <w:r w:rsidR="00435694" w:rsidRPr="005D1551">
        <w:rPr>
          <w:rFonts w:ascii="Times New Roman" w:hAnsi="Times New Roman" w:cs="Times New Roman"/>
          <w:sz w:val="24"/>
          <w:szCs w:val="24"/>
        </w:rPr>
        <w:t>ve k</w:t>
      </w:r>
      <w:r w:rsidRPr="005D1551">
        <w:rPr>
          <w:rFonts w:ascii="Times New Roman" w:hAnsi="Times New Roman" w:cs="Times New Roman"/>
          <w:sz w:val="24"/>
          <w:szCs w:val="24"/>
        </w:rPr>
        <w:t xml:space="preserve">orelasyon analizi için ise </w:t>
      </w:r>
      <w:proofErr w:type="spellStart"/>
      <w:r w:rsidRPr="005D1551">
        <w:rPr>
          <w:rFonts w:ascii="Times New Roman" w:hAnsi="Times New Roman" w:cs="Times New Roman"/>
          <w:sz w:val="24"/>
          <w:szCs w:val="24"/>
        </w:rPr>
        <w:t>Pearson</w:t>
      </w:r>
      <w:proofErr w:type="spellEnd"/>
      <w:r w:rsidRPr="005D1551">
        <w:rPr>
          <w:rFonts w:ascii="Times New Roman" w:hAnsi="Times New Roman" w:cs="Times New Roman"/>
          <w:sz w:val="24"/>
          <w:szCs w:val="24"/>
        </w:rPr>
        <w:t xml:space="preserve"> Korelasyon </w:t>
      </w:r>
      <w:r w:rsidR="00435694" w:rsidRPr="005D1551">
        <w:rPr>
          <w:rFonts w:ascii="Times New Roman" w:hAnsi="Times New Roman" w:cs="Times New Roman"/>
          <w:sz w:val="24"/>
          <w:szCs w:val="24"/>
        </w:rPr>
        <w:t>A</w:t>
      </w:r>
      <w:r w:rsidRPr="005D1551">
        <w:rPr>
          <w:rFonts w:ascii="Times New Roman" w:hAnsi="Times New Roman" w:cs="Times New Roman"/>
          <w:sz w:val="24"/>
          <w:szCs w:val="24"/>
        </w:rPr>
        <w:t xml:space="preserve">nalizi </w:t>
      </w:r>
      <w:r w:rsidR="00435694" w:rsidRPr="005D1551">
        <w:rPr>
          <w:rFonts w:ascii="Times New Roman" w:hAnsi="Times New Roman" w:cs="Times New Roman"/>
          <w:sz w:val="24"/>
          <w:szCs w:val="24"/>
        </w:rPr>
        <w:t>T</w:t>
      </w:r>
      <w:r w:rsidRPr="005D1551">
        <w:rPr>
          <w:rFonts w:ascii="Times New Roman" w:hAnsi="Times New Roman" w:cs="Times New Roman"/>
          <w:sz w:val="24"/>
          <w:szCs w:val="24"/>
        </w:rPr>
        <w:t>esti kullanıldı. İstatistiksel anlamlılık düzeyi p&lt;0,05 kabul edildi.</w:t>
      </w:r>
    </w:p>
    <w:p w14:paraId="5A54B4B6" w14:textId="77777777" w:rsidR="005D1551" w:rsidRPr="005D1551" w:rsidRDefault="005D1551" w:rsidP="00B55AE6">
      <w:pPr>
        <w:spacing w:before="120" w:after="360" w:line="360" w:lineRule="auto"/>
        <w:ind w:left="284" w:firstLine="919"/>
        <w:contextualSpacing/>
        <w:jc w:val="both"/>
        <w:rPr>
          <w:rFonts w:ascii="Times New Roman" w:hAnsi="Times New Roman" w:cs="Times New Roman"/>
          <w:b/>
          <w:sz w:val="24"/>
          <w:szCs w:val="24"/>
        </w:rPr>
      </w:pPr>
    </w:p>
    <w:p w14:paraId="7A0B2052" w14:textId="2EE9CC70" w:rsidR="00A20407" w:rsidRPr="005D1551" w:rsidRDefault="00380C9D" w:rsidP="00B55AE6">
      <w:pPr>
        <w:spacing w:before="120" w:after="360" w:line="360" w:lineRule="auto"/>
        <w:ind w:left="284" w:firstLine="919"/>
        <w:contextualSpacing/>
        <w:jc w:val="both"/>
        <w:rPr>
          <w:rFonts w:ascii="Times New Roman" w:hAnsi="Times New Roman" w:cs="Times New Roman"/>
          <w:b/>
          <w:sz w:val="24"/>
          <w:szCs w:val="24"/>
        </w:rPr>
      </w:pPr>
      <w:r w:rsidRPr="005D1551">
        <w:rPr>
          <w:rFonts w:ascii="Times New Roman" w:hAnsi="Times New Roman" w:cs="Times New Roman"/>
          <w:b/>
          <w:sz w:val="24"/>
          <w:szCs w:val="24"/>
        </w:rPr>
        <w:t>SONUÇLAR</w:t>
      </w:r>
    </w:p>
    <w:p w14:paraId="0F5594B2" w14:textId="06F6B385" w:rsidR="00A20407" w:rsidRPr="005D1551" w:rsidRDefault="00996465" w:rsidP="00B55AE6">
      <w:pPr>
        <w:spacing w:before="120" w:after="360" w:line="360" w:lineRule="auto"/>
        <w:ind w:left="284" w:firstLine="919"/>
        <w:contextualSpacing/>
        <w:jc w:val="both"/>
        <w:rPr>
          <w:rFonts w:ascii="Times New Roman" w:eastAsia="Calibri" w:hAnsi="Times New Roman" w:cs="Times New Roman"/>
          <w:noProof/>
          <w:sz w:val="24"/>
          <w:szCs w:val="24"/>
        </w:rPr>
      </w:pPr>
      <w:r w:rsidRPr="005D1551">
        <w:rPr>
          <w:rFonts w:ascii="Times New Roman" w:eastAsia="Calibri" w:hAnsi="Times New Roman" w:cs="Times New Roman"/>
          <w:noProof/>
          <w:sz w:val="24"/>
          <w:szCs w:val="24"/>
        </w:rPr>
        <w:t xml:space="preserve">Çalışmaya </w:t>
      </w:r>
      <w:r w:rsidR="00A20407" w:rsidRPr="005D1551">
        <w:rPr>
          <w:rFonts w:ascii="Times New Roman" w:eastAsia="Calibri" w:hAnsi="Times New Roman" w:cs="Times New Roman"/>
          <w:noProof/>
          <w:sz w:val="24"/>
          <w:szCs w:val="24"/>
        </w:rPr>
        <w:t>dahil edilen</w:t>
      </w:r>
      <w:r w:rsidRPr="005D1551">
        <w:rPr>
          <w:rFonts w:ascii="Times New Roman" w:eastAsia="Calibri" w:hAnsi="Times New Roman" w:cs="Times New Roman"/>
          <w:noProof/>
          <w:sz w:val="24"/>
          <w:szCs w:val="24"/>
        </w:rPr>
        <w:t xml:space="preserve"> 150 hastanın;</w:t>
      </w:r>
      <w:r w:rsidR="00A20407" w:rsidRPr="005D1551">
        <w:rPr>
          <w:rFonts w:ascii="Times New Roman" w:eastAsia="Calibri" w:hAnsi="Times New Roman" w:cs="Times New Roman"/>
          <w:noProof/>
          <w:sz w:val="24"/>
          <w:szCs w:val="24"/>
        </w:rPr>
        <w:t xml:space="preserve"> 69’u (%46) erkek, 81’i (%54) kadındı. Yaş ortalaması ise 56 ±13,3 yıl idi. </w:t>
      </w:r>
      <w:r w:rsidRPr="005D1551">
        <w:rPr>
          <w:rFonts w:ascii="Times New Roman" w:hAnsi="Times New Roman" w:cs="Times New Roman"/>
          <w:sz w:val="24"/>
          <w:szCs w:val="24"/>
        </w:rPr>
        <w:t xml:space="preserve">Hastalardan </w:t>
      </w:r>
      <w:r w:rsidR="00A20407" w:rsidRPr="005D1551">
        <w:rPr>
          <w:rFonts w:ascii="Times New Roman" w:eastAsia="Calibri" w:hAnsi="Times New Roman" w:cs="Times New Roman"/>
          <w:noProof/>
          <w:sz w:val="24"/>
          <w:szCs w:val="24"/>
        </w:rPr>
        <w:t>111’i (%73,3) 65 yaş altı, 39’u (%26,7) 65 yaş üstü</w:t>
      </w:r>
      <w:r w:rsidR="00A20407" w:rsidRPr="005D1551">
        <w:rPr>
          <w:rFonts w:ascii="Times New Roman" w:hAnsi="Times New Roman" w:cs="Times New Roman"/>
          <w:sz w:val="24"/>
          <w:szCs w:val="24"/>
        </w:rPr>
        <w:t xml:space="preserve"> idi</w:t>
      </w:r>
      <w:r w:rsidRPr="005D1551">
        <w:rPr>
          <w:rFonts w:ascii="Times New Roman" w:hAnsi="Times New Roman" w:cs="Times New Roman"/>
          <w:sz w:val="24"/>
          <w:szCs w:val="24"/>
        </w:rPr>
        <w:t xml:space="preserve">. </w:t>
      </w:r>
      <w:r w:rsidRPr="005D1551">
        <w:rPr>
          <w:rFonts w:ascii="Times New Roman" w:eastAsia="Calibri" w:hAnsi="Times New Roman" w:cs="Times New Roman"/>
          <w:noProof/>
          <w:sz w:val="24"/>
          <w:szCs w:val="24"/>
        </w:rPr>
        <w:t>Hastaların</w:t>
      </w:r>
      <w:r w:rsidR="00A20407" w:rsidRPr="005D1551">
        <w:rPr>
          <w:rFonts w:ascii="Times New Roman" w:eastAsia="Calibri" w:hAnsi="Times New Roman" w:cs="Times New Roman"/>
          <w:noProof/>
          <w:sz w:val="24"/>
          <w:szCs w:val="24"/>
        </w:rPr>
        <w:t xml:space="preserve"> </w:t>
      </w:r>
      <w:r w:rsidR="00A20407" w:rsidRPr="005D1551">
        <w:rPr>
          <w:rFonts w:ascii="Times New Roman" w:hAnsi="Times New Roman" w:cs="Times New Roman"/>
          <w:sz w:val="24"/>
          <w:szCs w:val="24"/>
        </w:rPr>
        <w:t>%85,3’ü (n=128) evli, %14,7’si</w:t>
      </w:r>
      <w:r w:rsidRPr="005D1551">
        <w:rPr>
          <w:rFonts w:ascii="Times New Roman" w:hAnsi="Times New Roman" w:cs="Times New Roman"/>
          <w:sz w:val="24"/>
          <w:szCs w:val="24"/>
        </w:rPr>
        <w:t xml:space="preserve"> ise bekardı</w:t>
      </w:r>
      <w:r w:rsidR="00A20407" w:rsidRPr="005D1551">
        <w:rPr>
          <w:rFonts w:ascii="Times New Roman" w:hAnsi="Times New Roman" w:cs="Times New Roman"/>
          <w:sz w:val="24"/>
          <w:szCs w:val="24"/>
        </w:rPr>
        <w:t xml:space="preserve"> (n=22</w:t>
      </w:r>
      <w:r w:rsidRPr="005D1551">
        <w:rPr>
          <w:rFonts w:ascii="Times New Roman" w:hAnsi="Times New Roman" w:cs="Times New Roman"/>
          <w:sz w:val="24"/>
          <w:szCs w:val="24"/>
        </w:rPr>
        <w:t>)</w:t>
      </w:r>
      <w:r w:rsidR="00A20407" w:rsidRPr="005D1551">
        <w:rPr>
          <w:rFonts w:ascii="Times New Roman" w:hAnsi="Times New Roman" w:cs="Times New Roman"/>
          <w:sz w:val="24"/>
          <w:szCs w:val="24"/>
        </w:rPr>
        <w:t>.</w:t>
      </w:r>
    </w:p>
    <w:p w14:paraId="61362EEE" w14:textId="028C9FF9" w:rsidR="00A20407" w:rsidRPr="005D1551" w:rsidRDefault="00996465" w:rsidP="00B55AE6">
      <w:pPr>
        <w:autoSpaceDE w:val="0"/>
        <w:autoSpaceDN w:val="0"/>
        <w:adjustRightInd w:val="0"/>
        <w:spacing w:before="120" w:after="360" w:line="360" w:lineRule="auto"/>
        <w:ind w:left="284" w:firstLine="919"/>
        <w:contextualSpacing/>
        <w:jc w:val="both"/>
        <w:rPr>
          <w:rFonts w:ascii="Times New Roman" w:eastAsia="Calibri" w:hAnsi="Times New Roman" w:cs="Times New Roman"/>
          <w:sz w:val="24"/>
          <w:szCs w:val="24"/>
        </w:rPr>
      </w:pPr>
      <w:r w:rsidRPr="005D1551">
        <w:rPr>
          <w:rFonts w:ascii="Times New Roman" w:eastAsia="Calibri" w:hAnsi="Times New Roman" w:cs="Times New Roman"/>
          <w:sz w:val="24"/>
          <w:szCs w:val="24"/>
        </w:rPr>
        <w:t xml:space="preserve">Hastaların eğitim düzeyleri incelendiğinde </w:t>
      </w:r>
      <w:r w:rsidR="00A20407" w:rsidRPr="005D1551">
        <w:rPr>
          <w:rFonts w:ascii="Times New Roman" w:eastAsia="Calibri" w:hAnsi="Times New Roman" w:cs="Times New Roman"/>
          <w:sz w:val="24"/>
          <w:szCs w:val="24"/>
        </w:rPr>
        <w:t>32</w:t>
      </w:r>
      <w:r w:rsidRPr="005D1551">
        <w:rPr>
          <w:rFonts w:ascii="Times New Roman" w:eastAsia="Calibri" w:hAnsi="Times New Roman" w:cs="Times New Roman"/>
          <w:sz w:val="24"/>
          <w:szCs w:val="24"/>
        </w:rPr>
        <w:t>’si</w:t>
      </w:r>
      <w:r w:rsidR="00A20407" w:rsidRPr="005D1551">
        <w:rPr>
          <w:rFonts w:ascii="Times New Roman" w:eastAsia="Calibri" w:hAnsi="Times New Roman" w:cs="Times New Roman"/>
          <w:sz w:val="24"/>
          <w:szCs w:val="24"/>
        </w:rPr>
        <w:t xml:space="preserve"> ilkokul (%21,3), 10</w:t>
      </w:r>
      <w:r w:rsidRPr="005D1551">
        <w:rPr>
          <w:rFonts w:ascii="Times New Roman" w:eastAsia="Calibri" w:hAnsi="Times New Roman" w:cs="Times New Roman"/>
          <w:sz w:val="24"/>
          <w:szCs w:val="24"/>
        </w:rPr>
        <w:t xml:space="preserve">’u </w:t>
      </w:r>
      <w:r w:rsidR="00A20407" w:rsidRPr="005D1551">
        <w:rPr>
          <w:rFonts w:ascii="Times New Roman" w:eastAsia="Calibri" w:hAnsi="Times New Roman" w:cs="Times New Roman"/>
          <w:sz w:val="24"/>
          <w:szCs w:val="24"/>
        </w:rPr>
        <w:t>ortaokul (%6,7), 18</w:t>
      </w:r>
      <w:r w:rsidRPr="005D1551">
        <w:rPr>
          <w:rFonts w:ascii="Times New Roman" w:eastAsia="Calibri" w:hAnsi="Times New Roman" w:cs="Times New Roman"/>
          <w:sz w:val="24"/>
          <w:szCs w:val="24"/>
        </w:rPr>
        <w:t>’u</w:t>
      </w:r>
      <w:r w:rsidR="00A20407" w:rsidRPr="005D1551">
        <w:rPr>
          <w:rFonts w:ascii="Times New Roman" w:eastAsia="Calibri" w:hAnsi="Times New Roman" w:cs="Times New Roman"/>
          <w:sz w:val="24"/>
          <w:szCs w:val="24"/>
        </w:rPr>
        <w:t xml:space="preserve"> lise (%12), 47</w:t>
      </w:r>
      <w:r w:rsidRPr="005D1551">
        <w:rPr>
          <w:rFonts w:ascii="Times New Roman" w:eastAsia="Calibri" w:hAnsi="Times New Roman" w:cs="Times New Roman"/>
          <w:sz w:val="24"/>
          <w:szCs w:val="24"/>
        </w:rPr>
        <w:t>’si</w:t>
      </w:r>
      <w:r w:rsidR="00A20407" w:rsidRPr="005D1551">
        <w:rPr>
          <w:rFonts w:ascii="Times New Roman" w:eastAsia="Calibri" w:hAnsi="Times New Roman" w:cs="Times New Roman"/>
          <w:sz w:val="24"/>
          <w:szCs w:val="24"/>
        </w:rPr>
        <w:t xml:space="preserve"> üniversite (%31,3) mezunu idi. Yüksek lisans eğitimi alan kişi sayısı 5 (%3,3), doktora eğitimini tamamlayan kişi sayısı ise 38 (%25,3) idi. Buna göre her üç kişiden yaklaşık biri üniversite mezunu idi. Araştırmaya katılan her beş kişiden yaklaşık biri ise ilkokul mezunu idi.</w:t>
      </w:r>
    </w:p>
    <w:p w14:paraId="7904469F" w14:textId="77777777" w:rsidR="00232E03" w:rsidRPr="005D1551" w:rsidRDefault="00A20407" w:rsidP="007364B1">
      <w:pPr>
        <w:autoSpaceDE w:val="0"/>
        <w:autoSpaceDN w:val="0"/>
        <w:adjustRightInd w:val="0"/>
        <w:spacing w:before="120" w:after="360" w:line="360" w:lineRule="auto"/>
        <w:ind w:left="284" w:firstLine="919"/>
        <w:contextualSpacing/>
        <w:jc w:val="both"/>
        <w:rPr>
          <w:rFonts w:ascii="Times New Roman" w:eastAsia="Calibri" w:hAnsi="Times New Roman" w:cs="Times New Roman"/>
          <w:noProof/>
          <w:sz w:val="24"/>
          <w:szCs w:val="24"/>
        </w:rPr>
      </w:pPr>
      <w:r w:rsidRPr="005D1551">
        <w:rPr>
          <w:rFonts w:ascii="Times New Roman" w:hAnsi="Times New Roman" w:cs="Times New Roman"/>
          <w:sz w:val="24"/>
          <w:szCs w:val="24"/>
        </w:rPr>
        <w:t>Araştırmaya katılan kişiler meslek açısından değerlendirildiğinde katılımcıların 44’ü (%29,3) akademisyen, 43’ü (%28,7) ev hanımı, 28’i (%18,7) öğretmen,14’ü (%9,3) memur, 12’si (%8) diğer mesleklerden, 9’u (%6) ise işçi idi</w:t>
      </w:r>
      <w:r w:rsidR="00E44A5C" w:rsidRPr="005D1551">
        <w:rPr>
          <w:rFonts w:ascii="Times New Roman" w:hAnsi="Times New Roman" w:cs="Times New Roman"/>
          <w:sz w:val="24"/>
          <w:szCs w:val="24"/>
        </w:rPr>
        <w:t xml:space="preserve">. </w:t>
      </w:r>
      <w:r w:rsidR="003140DD" w:rsidRPr="005D1551">
        <w:rPr>
          <w:rFonts w:ascii="Times New Roman" w:hAnsi="Times New Roman" w:cs="Times New Roman"/>
          <w:sz w:val="24"/>
          <w:szCs w:val="24"/>
        </w:rPr>
        <w:t>Hastaların</w:t>
      </w:r>
      <w:r w:rsidRPr="005D1551">
        <w:rPr>
          <w:rFonts w:ascii="Times New Roman" w:hAnsi="Times New Roman" w:cs="Times New Roman"/>
          <w:sz w:val="24"/>
          <w:szCs w:val="24"/>
        </w:rPr>
        <w:t xml:space="preserve"> ortalama aylık geliri </w:t>
      </w:r>
      <w:r w:rsidRPr="005D1551">
        <w:rPr>
          <w:rFonts w:ascii="Times New Roman" w:hAnsi="Times New Roman" w:cs="Times New Roman"/>
          <w:sz w:val="24"/>
          <w:szCs w:val="24"/>
        </w:rPr>
        <w:lastRenderedPageBreak/>
        <w:t>4557±3380 TL idi.</w:t>
      </w:r>
      <w:r w:rsidR="007364B1" w:rsidRPr="005D1551">
        <w:rPr>
          <w:rFonts w:ascii="Times New Roman" w:hAnsi="Times New Roman" w:cs="Times New Roman"/>
          <w:sz w:val="24"/>
          <w:szCs w:val="24"/>
        </w:rPr>
        <w:t xml:space="preserve"> </w:t>
      </w:r>
      <w:r w:rsidR="007364B1" w:rsidRPr="005D1551">
        <w:rPr>
          <w:rFonts w:ascii="Times New Roman" w:eastAsia="Calibri" w:hAnsi="Times New Roman" w:cs="Times New Roman"/>
          <w:noProof/>
          <w:sz w:val="24"/>
          <w:szCs w:val="24"/>
        </w:rPr>
        <w:t>Hastaların sosyodemografik özellikleri (yaş, cinsiyet, medeni durum, eğitim seviyesi ve meslek) Tablo 1’de sunulmuştur.</w:t>
      </w:r>
      <w:bookmarkStart w:id="5" w:name="_Toc12471981"/>
    </w:p>
    <w:p w14:paraId="00EBC08B" w14:textId="77777777" w:rsidR="005D1551" w:rsidRDefault="005D1551" w:rsidP="007364B1">
      <w:pPr>
        <w:autoSpaceDE w:val="0"/>
        <w:autoSpaceDN w:val="0"/>
        <w:adjustRightInd w:val="0"/>
        <w:spacing w:before="120" w:after="360" w:line="360" w:lineRule="auto"/>
        <w:ind w:left="284" w:firstLine="919"/>
        <w:jc w:val="both"/>
        <w:rPr>
          <w:rFonts w:ascii="Times New Roman" w:hAnsi="Times New Roman" w:cs="Times New Roman"/>
          <w:b/>
          <w:sz w:val="24"/>
          <w:szCs w:val="24"/>
        </w:rPr>
      </w:pPr>
    </w:p>
    <w:p w14:paraId="5D112D93" w14:textId="22786C9E" w:rsidR="00A20407" w:rsidRPr="005D1551" w:rsidRDefault="00A20407" w:rsidP="007364B1">
      <w:pPr>
        <w:autoSpaceDE w:val="0"/>
        <w:autoSpaceDN w:val="0"/>
        <w:adjustRightInd w:val="0"/>
        <w:spacing w:before="120" w:after="360" w:line="360" w:lineRule="auto"/>
        <w:ind w:left="284" w:firstLine="919"/>
        <w:jc w:val="both"/>
        <w:rPr>
          <w:rFonts w:ascii="Times New Roman" w:hAnsi="Times New Roman" w:cs="Times New Roman"/>
          <w:sz w:val="24"/>
          <w:szCs w:val="24"/>
        </w:rPr>
      </w:pPr>
      <w:r w:rsidRPr="005D1551">
        <w:rPr>
          <w:rFonts w:ascii="Times New Roman" w:hAnsi="Times New Roman" w:cs="Times New Roman"/>
          <w:b/>
          <w:sz w:val="24"/>
          <w:szCs w:val="24"/>
        </w:rPr>
        <w:t>Tablo 1.</w:t>
      </w:r>
      <w:r w:rsidRPr="005D1551">
        <w:rPr>
          <w:rFonts w:ascii="Times New Roman" w:hAnsi="Times New Roman" w:cs="Times New Roman"/>
          <w:sz w:val="24"/>
          <w:szCs w:val="24"/>
        </w:rPr>
        <w:t xml:space="preserve"> </w:t>
      </w:r>
      <w:r w:rsidR="00AE5B1E" w:rsidRPr="005D1551">
        <w:rPr>
          <w:rFonts w:ascii="Times New Roman" w:hAnsi="Times New Roman" w:cs="Times New Roman"/>
          <w:b/>
          <w:sz w:val="24"/>
          <w:szCs w:val="24"/>
        </w:rPr>
        <w:t>Hastaların</w:t>
      </w:r>
      <w:r w:rsidRPr="005D1551">
        <w:rPr>
          <w:rFonts w:ascii="Times New Roman" w:hAnsi="Times New Roman" w:cs="Times New Roman"/>
          <w:b/>
          <w:sz w:val="24"/>
          <w:szCs w:val="24"/>
        </w:rPr>
        <w:t xml:space="preserve"> demografik özellikleri (n=150)</w:t>
      </w:r>
      <w:bookmarkEnd w:id="5"/>
    </w:p>
    <w:tbl>
      <w:tblPr>
        <w:tblW w:w="0" w:type="auto"/>
        <w:jc w:val="center"/>
        <w:tblLook w:val="04A0" w:firstRow="1" w:lastRow="0" w:firstColumn="1" w:lastColumn="0" w:noHBand="0" w:noVBand="1"/>
      </w:tblPr>
      <w:tblGrid>
        <w:gridCol w:w="3119"/>
        <w:gridCol w:w="1719"/>
        <w:gridCol w:w="2410"/>
      </w:tblGrid>
      <w:tr w:rsidR="00AD6B08" w:rsidRPr="005D1551" w14:paraId="1DFD3C9A" w14:textId="77777777" w:rsidTr="006C2E9C">
        <w:trPr>
          <w:jc w:val="center"/>
        </w:trPr>
        <w:tc>
          <w:tcPr>
            <w:tcW w:w="3119" w:type="dxa"/>
            <w:tcBorders>
              <w:bottom w:val="single" w:sz="4" w:space="0" w:color="auto"/>
            </w:tcBorders>
          </w:tcPr>
          <w:p w14:paraId="770E5117" w14:textId="77777777" w:rsidR="00A20407" w:rsidRPr="005D1551" w:rsidRDefault="00A20407" w:rsidP="00B55AE6">
            <w:pPr>
              <w:pStyle w:val="Balk6"/>
              <w:spacing w:before="120" w:after="60" w:line="360" w:lineRule="auto"/>
              <w:ind w:left="284" w:firstLine="919"/>
              <w:jc w:val="both"/>
              <w:rPr>
                <w:rFonts w:ascii="Times New Roman" w:eastAsia="Calibri" w:hAnsi="Times New Roman" w:cs="Times New Roman"/>
                <w:b/>
                <w:i/>
                <w:color w:val="auto"/>
                <w:sz w:val="20"/>
                <w:szCs w:val="20"/>
              </w:rPr>
            </w:pPr>
          </w:p>
        </w:tc>
        <w:tc>
          <w:tcPr>
            <w:tcW w:w="1696" w:type="dxa"/>
            <w:tcBorders>
              <w:bottom w:val="single" w:sz="4" w:space="0" w:color="auto"/>
            </w:tcBorders>
          </w:tcPr>
          <w:p w14:paraId="7B49E6BF" w14:textId="77777777" w:rsidR="00A20407" w:rsidRPr="005D1551" w:rsidRDefault="00A20407" w:rsidP="00B55AE6">
            <w:pPr>
              <w:pStyle w:val="Balk6"/>
              <w:spacing w:before="120" w:after="60" w:line="360" w:lineRule="auto"/>
              <w:ind w:left="284" w:firstLine="919"/>
              <w:jc w:val="both"/>
              <w:rPr>
                <w:rFonts w:ascii="Times New Roman" w:eastAsia="Calibri" w:hAnsi="Times New Roman" w:cs="Times New Roman"/>
                <w:b/>
                <w:i/>
                <w:color w:val="auto"/>
                <w:sz w:val="20"/>
                <w:szCs w:val="20"/>
              </w:rPr>
            </w:pPr>
            <w:proofErr w:type="gramStart"/>
            <w:r w:rsidRPr="005D1551">
              <w:rPr>
                <w:rFonts w:ascii="Times New Roman" w:eastAsia="Times New Roman" w:hAnsi="Times New Roman" w:cs="Times New Roman"/>
                <w:b/>
                <w:color w:val="auto"/>
                <w:sz w:val="20"/>
                <w:szCs w:val="20"/>
              </w:rPr>
              <w:t>n</w:t>
            </w:r>
            <w:proofErr w:type="gramEnd"/>
          </w:p>
        </w:tc>
        <w:tc>
          <w:tcPr>
            <w:tcW w:w="2410" w:type="dxa"/>
            <w:tcBorders>
              <w:bottom w:val="single" w:sz="4" w:space="0" w:color="auto"/>
            </w:tcBorders>
          </w:tcPr>
          <w:p w14:paraId="5D263647" w14:textId="77777777" w:rsidR="00A20407" w:rsidRPr="005D1551" w:rsidRDefault="00A20407" w:rsidP="00B55AE6">
            <w:pPr>
              <w:pStyle w:val="Balk6"/>
              <w:spacing w:before="120" w:after="60" w:line="360" w:lineRule="auto"/>
              <w:ind w:left="284" w:firstLine="919"/>
              <w:jc w:val="both"/>
              <w:rPr>
                <w:rFonts w:ascii="Times New Roman" w:eastAsia="Calibri" w:hAnsi="Times New Roman" w:cs="Times New Roman"/>
                <w:b/>
                <w:i/>
                <w:color w:val="auto"/>
                <w:sz w:val="20"/>
                <w:szCs w:val="20"/>
              </w:rPr>
            </w:pPr>
            <w:r w:rsidRPr="005D1551">
              <w:rPr>
                <w:rFonts w:ascii="Times New Roman" w:eastAsia="Times New Roman" w:hAnsi="Times New Roman" w:cs="Times New Roman"/>
                <w:b/>
                <w:color w:val="auto"/>
                <w:sz w:val="20"/>
                <w:szCs w:val="20"/>
              </w:rPr>
              <w:t>%</w:t>
            </w:r>
          </w:p>
        </w:tc>
      </w:tr>
      <w:tr w:rsidR="00AD6B08" w:rsidRPr="005D1551" w14:paraId="4BC83650" w14:textId="77777777" w:rsidTr="006C2E9C">
        <w:trPr>
          <w:trHeight w:val="250"/>
          <w:jc w:val="center"/>
        </w:trPr>
        <w:tc>
          <w:tcPr>
            <w:tcW w:w="3119" w:type="dxa"/>
            <w:tcBorders>
              <w:top w:val="single" w:sz="4" w:space="0" w:color="auto"/>
            </w:tcBorders>
          </w:tcPr>
          <w:p w14:paraId="170AAE9F"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b/>
                <w:sz w:val="20"/>
                <w:szCs w:val="20"/>
              </w:rPr>
            </w:pPr>
            <w:r w:rsidRPr="005D1551">
              <w:rPr>
                <w:rFonts w:ascii="Times New Roman" w:eastAsia="Times New Roman" w:hAnsi="Times New Roman" w:cs="Times New Roman"/>
                <w:b/>
                <w:sz w:val="20"/>
                <w:szCs w:val="20"/>
              </w:rPr>
              <w:t>Yaş</w:t>
            </w:r>
          </w:p>
        </w:tc>
        <w:tc>
          <w:tcPr>
            <w:tcW w:w="1696" w:type="dxa"/>
            <w:tcBorders>
              <w:top w:val="single" w:sz="4" w:space="0" w:color="auto"/>
            </w:tcBorders>
          </w:tcPr>
          <w:p w14:paraId="0FD9D8F7"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p>
        </w:tc>
        <w:tc>
          <w:tcPr>
            <w:tcW w:w="2410" w:type="dxa"/>
            <w:tcBorders>
              <w:top w:val="single" w:sz="4" w:space="0" w:color="auto"/>
            </w:tcBorders>
          </w:tcPr>
          <w:p w14:paraId="33652EFC"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p>
        </w:tc>
      </w:tr>
      <w:tr w:rsidR="00AD6B08" w:rsidRPr="005D1551" w14:paraId="7286CC59" w14:textId="77777777" w:rsidTr="006C2E9C">
        <w:trPr>
          <w:jc w:val="center"/>
        </w:trPr>
        <w:tc>
          <w:tcPr>
            <w:tcW w:w="3119" w:type="dxa"/>
          </w:tcPr>
          <w:p w14:paraId="5AD880D0"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65 yaş altı</w:t>
            </w:r>
          </w:p>
        </w:tc>
        <w:tc>
          <w:tcPr>
            <w:tcW w:w="1696" w:type="dxa"/>
          </w:tcPr>
          <w:p w14:paraId="3ED29F07"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111</w:t>
            </w:r>
          </w:p>
        </w:tc>
        <w:tc>
          <w:tcPr>
            <w:tcW w:w="2410" w:type="dxa"/>
          </w:tcPr>
          <w:p w14:paraId="312BA5DD"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73.3</w:t>
            </w:r>
          </w:p>
        </w:tc>
      </w:tr>
      <w:tr w:rsidR="00AD6B08" w:rsidRPr="005D1551" w14:paraId="078E47EA" w14:textId="77777777" w:rsidTr="006C2E9C">
        <w:trPr>
          <w:jc w:val="center"/>
        </w:trPr>
        <w:tc>
          <w:tcPr>
            <w:tcW w:w="3119" w:type="dxa"/>
          </w:tcPr>
          <w:p w14:paraId="385A73F5"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65 yaş üstü</w:t>
            </w:r>
          </w:p>
        </w:tc>
        <w:tc>
          <w:tcPr>
            <w:tcW w:w="1696" w:type="dxa"/>
          </w:tcPr>
          <w:p w14:paraId="011F6123"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39</w:t>
            </w:r>
          </w:p>
        </w:tc>
        <w:tc>
          <w:tcPr>
            <w:tcW w:w="2410" w:type="dxa"/>
          </w:tcPr>
          <w:p w14:paraId="2BDE3B1B"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26.7</w:t>
            </w:r>
          </w:p>
        </w:tc>
      </w:tr>
      <w:tr w:rsidR="00AD6B08" w:rsidRPr="005D1551" w14:paraId="5ACD966C" w14:textId="77777777" w:rsidTr="006C2E9C">
        <w:trPr>
          <w:jc w:val="center"/>
        </w:trPr>
        <w:tc>
          <w:tcPr>
            <w:tcW w:w="3119" w:type="dxa"/>
          </w:tcPr>
          <w:p w14:paraId="78699776"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b/>
                <w:sz w:val="20"/>
                <w:szCs w:val="20"/>
              </w:rPr>
            </w:pPr>
            <w:r w:rsidRPr="005D1551">
              <w:rPr>
                <w:rFonts w:ascii="Times New Roman" w:eastAsia="Times New Roman" w:hAnsi="Times New Roman" w:cs="Times New Roman"/>
                <w:b/>
                <w:sz w:val="20"/>
                <w:szCs w:val="20"/>
              </w:rPr>
              <w:t>Cinsiyet</w:t>
            </w:r>
          </w:p>
        </w:tc>
        <w:tc>
          <w:tcPr>
            <w:tcW w:w="1696" w:type="dxa"/>
          </w:tcPr>
          <w:p w14:paraId="05E47BF3"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p>
        </w:tc>
        <w:tc>
          <w:tcPr>
            <w:tcW w:w="2410" w:type="dxa"/>
          </w:tcPr>
          <w:p w14:paraId="2973CEB4"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p>
        </w:tc>
      </w:tr>
      <w:tr w:rsidR="00AD6B08" w:rsidRPr="005D1551" w14:paraId="4E7F0B3F" w14:textId="77777777" w:rsidTr="006C2E9C">
        <w:trPr>
          <w:jc w:val="center"/>
        </w:trPr>
        <w:tc>
          <w:tcPr>
            <w:tcW w:w="3119" w:type="dxa"/>
          </w:tcPr>
          <w:p w14:paraId="1C108E92"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Kadın</w:t>
            </w:r>
          </w:p>
        </w:tc>
        <w:tc>
          <w:tcPr>
            <w:tcW w:w="1696" w:type="dxa"/>
          </w:tcPr>
          <w:p w14:paraId="423A28A4"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81</w:t>
            </w:r>
          </w:p>
        </w:tc>
        <w:tc>
          <w:tcPr>
            <w:tcW w:w="2410" w:type="dxa"/>
          </w:tcPr>
          <w:p w14:paraId="4C35FEDC"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54,0</w:t>
            </w:r>
          </w:p>
        </w:tc>
      </w:tr>
      <w:tr w:rsidR="00AD6B08" w:rsidRPr="005D1551" w14:paraId="279F6B05" w14:textId="77777777" w:rsidTr="006C2E9C">
        <w:trPr>
          <w:jc w:val="center"/>
        </w:trPr>
        <w:tc>
          <w:tcPr>
            <w:tcW w:w="3119" w:type="dxa"/>
          </w:tcPr>
          <w:p w14:paraId="7ADF5B1B"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Erkek</w:t>
            </w:r>
          </w:p>
        </w:tc>
        <w:tc>
          <w:tcPr>
            <w:tcW w:w="1696" w:type="dxa"/>
          </w:tcPr>
          <w:p w14:paraId="65B7183D"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69</w:t>
            </w:r>
          </w:p>
        </w:tc>
        <w:tc>
          <w:tcPr>
            <w:tcW w:w="2410" w:type="dxa"/>
          </w:tcPr>
          <w:p w14:paraId="3C29B8B2"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46,0</w:t>
            </w:r>
          </w:p>
        </w:tc>
      </w:tr>
      <w:tr w:rsidR="00AD6B08" w:rsidRPr="005D1551" w14:paraId="1402DBA4" w14:textId="77777777" w:rsidTr="006C2E9C">
        <w:trPr>
          <w:jc w:val="center"/>
        </w:trPr>
        <w:tc>
          <w:tcPr>
            <w:tcW w:w="3119" w:type="dxa"/>
          </w:tcPr>
          <w:p w14:paraId="29D956F0" w14:textId="54408CA2" w:rsidR="00A20407" w:rsidRPr="005D1551" w:rsidRDefault="00A20407" w:rsidP="00B55AE6">
            <w:pPr>
              <w:pStyle w:val="Balk6"/>
              <w:spacing w:before="120" w:after="60" w:line="360" w:lineRule="auto"/>
              <w:ind w:left="284" w:firstLine="919"/>
              <w:jc w:val="both"/>
              <w:rPr>
                <w:rFonts w:ascii="Times New Roman" w:eastAsia="Calibri" w:hAnsi="Times New Roman" w:cs="Times New Roman"/>
                <w:b/>
                <w:i/>
                <w:color w:val="auto"/>
                <w:sz w:val="20"/>
                <w:szCs w:val="20"/>
              </w:rPr>
            </w:pPr>
            <w:r w:rsidRPr="005D1551">
              <w:rPr>
                <w:rFonts w:ascii="Times New Roman" w:eastAsia="Times New Roman" w:hAnsi="Times New Roman" w:cs="Times New Roman"/>
                <w:b/>
                <w:color w:val="auto"/>
                <w:sz w:val="20"/>
                <w:szCs w:val="20"/>
              </w:rPr>
              <w:t>Medeni</w:t>
            </w:r>
            <w:r w:rsidR="006C2E9C" w:rsidRPr="005D1551">
              <w:rPr>
                <w:rFonts w:ascii="Times New Roman" w:eastAsia="Times New Roman" w:hAnsi="Times New Roman" w:cs="Times New Roman"/>
                <w:b/>
                <w:color w:val="auto"/>
                <w:sz w:val="20"/>
                <w:szCs w:val="20"/>
              </w:rPr>
              <w:t xml:space="preserve"> D</w:t>
            </w:r>
            <w:r w:rsidRPr="005D1551">
              <w:rPr>
                <w:rFonts w:ascii="Times New Roman" w:eastAsia="Times New Roman" w:hAnsi="Times New Roman" w:cs="Times New Roman"/>
                <w:b/>
                <w:color w:val="auto"/>
                <w:sz w:val="20"/>
                <w:szCs w:val="20"/>
              </w:rPr>
              <w:t>urum</w:t>
            </w:r>
            <w:r w:rsidR="006C2E9C" w:rsidRPr="005D1551">
              <w:rPr>
                <w:rFonts w:ascii="Times New Roman" w:eastAsia="Times New Roman" w:hAnsi="Times New Roman" w:cs="Times New Roman"/>
                <w:b/>
                <w:color w:val="auto"/>
                <w:sz w:val="20"/>
                <w:szCs w:val="20"/>
              </w:rPr>
              <w:t xml:space="preserve"> </w:t>
            </w:r>
          </w:p>
        </w:tc>
        <w:tc>
          <w:tcPr>
            <w:tcW w:w="1696" w:type="dxa"/>
          </w:tcPr>
          <w:p w14:paraId="11E910E7" w14:textId="77777777" w:rsidR="00A20407" w:rsidRPr="005D1551" w:rsidRDefault="00A20407" w:rsidP="00B55AE6">
            <w:pPr>
              <w:pStyle w:val="Balk6"/>
              <w:spacing w:before="120" w:after="60" w:line="360" w:lineRule="auto"/>
              <w:ind w:left="284" w:firstLine="919"/>
              <w:jc w:val="both"/>
              <w:rPr>
                <w:rFonts w:ascii="Times New Roman" w:eastAsia="Calibri" w:hAnsi="Times New Roman" w:cs="Times New Roman"/>
                <w:b/>
                <w:i/>
                <w:color w:val="auto"/>
                <w:sz w:val="20"/>
                <w:szCs w:val="20"/>
              </w:rPr>
            </w:pPr>
          </w:p>
        </w:tc>
        <w:tc>
          <w:tcPr>
            <w:tcW w:w="2410" w:type="dxa"/>
          </w:tcPr>
          <w:p w14:paraId="353A2DFC" w14:textId="77777777" w:rsidR="00A20407" w:rsidRPr="005D1551" w:rsidRDefault="00A20407" w:rsidP="00B55AE6">
            <w:pPr>
              <w:pStyle w:val="Balk6"/>
              <w:spacing w:before="120" w:after="60" w:line="360" w:lineRule="auto"/>
              <w:ind w:left="284" w:firstLine="919"/>
              <w:jc w:val="both"/>
              <w:rPr>
                <w:rFonts w:ascii="Times New Roman" w:eastAsia="Calibri" w:hAnsi="Times New Roman" w:cs="Times New Roman"/>
                <w:b/>
                <w:i/>
                <w:color w:val="auto"/>
                <w:sz w:val="20"/>
                <w:szCs w:val="20"/>
              </w:rPr>
            </w:pPr>
          </w:p>
        </w:tc>
      </w:tr>
      <w:tr w:rsidR="00AD6B08" w:rsidRPr="005D1551" w14:paraId="2F74F3CB" w14:textId="77777777" w:rsidTr="006C2E9C">
        <w:trPr>
          <w:jc w:val="center"/>
        </w:trPr>
        <w:tc>
          <w:tcPr>
            <w:tcW w:w="3119" w:type="dxa"/>
          </w:tcPr>
          <w:p w14:paraId="4CB0D3CE"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Bekar</w:t>
            </w:r>
          </w:p>
        </w:tc>
        <w:tc>
          <w:tcPr>
            <w:tcW w:w="1696" w:type="dxa"/>
          </w:tcPr>
          <w:p w14:paraId="36BA6CA3"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22</w:t>
            </w:r>
          </w:p>
        </w:tc>
        <w:tc>
          <w:tcPr>
            <w:tcW w:w="2410" w:type="dxa"/>
          </w:tcPr>
          <w:p w14:paraId="28E68B26"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14,7</w:t>
            </w:r>
          </w:p>
        </w:tc>
      </w:tr>
      <w:tr w:rsidR="00AD6B08" w:rsidRPr="005D1551" w14:paraId="2FA9CADD" w14:textId="77777777" w:rsidTr="006C2E9C">
        <w:trPr>
          <w:jc w:val="center"/>
        </w:trPr>
        <w:tc>
          <w:tcPr>
            <w:tcW w:w="3119" w:type="dxa"/>
          </w:tcPr>
          <w:p w14:paraId="34B9750F"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Evli</w:t>
            </w:r>
          </w:p>
        </w:tc>
        <w:tc>
          <w:tcPr>
            <w:tcW w:w="1696" w:type="dxa"/>
          </w:tcPr>
          <w:p w14:paraId="49CC90C6"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128</w:t>
            </w:r>
          </w:p>
        </w:tc>
        <w:tc>
          <w:tcPr>
            <w:tcW w:w="2410" w:type="dxa"/>
          </w:tcPr>
          <w:p w14:paraId="47DACAFB"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85,3</w:t>
            </w:r>
          </w:p>
        </w:tc>
      </w:tr>
      <w:tr w:rsidR="00AD6B08" w:rsidRPr="005D1551" w14:paraId="2F50E5DB" w14:textId="77777777" w:rsidTr="006C2E9C">
        <w:trPr>
          <w:jc w:val="center"/>
        </w:trPr>
        <w:tc>
          <w:tcPr>
            <w:tcW w:w="3119" w:type="dxa"/>
          </w:tcPr>
          <w:p w14:paraId="1FD8454C"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b/>
                <w:sz w:val="20"/>
                <w:szCs w:val="20"/>
              </w:rPr>
            </w:pPr>
            <w:r w:rsidRPr="005D1551">
              <w:rPr>
                <w:rFonts w:ascii="Times New Roman" w:eastAsia="Times New Roman" w:hAnsi="Times New Roman" w:cs="Times New Roman"/>
                <w:b/>
                <w:sz w:val="20"/>
                <w:szCs w:val="20"/>
              </w:rPr>
              <w:t>Eğitim Seviyesi</w:t>
            </w:r>
          </w:p>
        </w:tc>
        <w:tc>
          <w:tcPr>
            <w:tcW w:w="1696" w:type="dxa"/>
          </w:tcPr>
          <w:p w14:paraId="46E73340"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p>
        </w:tc>
        <w:tc>
          <w:tcPr>
            <w:tcW w:w="2410" w:type="dxa"/>
          </w:tcPr>
          <w:p w14:paraId="2EA5F265"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p>
        </w:tc>
      </w:tr>
      <w:tr w:rsidR="00AD6B08" w:rsidRPr="005D1551" w14:paraId="6779A97B" w14:textId="77777777" w:rsidTr="006C2E9C">
        <w:trPr>
          <w:jc w:val="center"/>
        </w:trPr>
        <w:tc>
          <w:tcPr>
            <w:tcW w:w="3119" w:type="dxa"/>
          </w:tcPr>
          <w:p w14:paraId="4D8EE23E" w14:textId="47E2FD93"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 xml:space="preserve">İlkokul </w:t>
            </w:r>
          </w:p>
        </w:tc>
        <w:tc>
          <w:tcPr>
            <w:tcW w:w="1696" w:type="dxa"/>
          </w:tcPr>
          <w:p w14:paraId="7D8A3CA3"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32</w:t>
            </w:r>
          </w:p>
        </w:tc>
        <w:tc>
          <w:tcPr>
            <w:tcW w:w="2410" w:type="dxa"/>
          </w:tcPr>
          <w:p w14:paraId="3B452A6F"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21,3</w:t>
            </w:r>
          </w:p>
        </w:tc>
      </w:tr>
      <w:tr w:rsidR="00AD6B08" w:rsidRPr="005D1551" w14:paraId="3B134325" w14:textId="77777777" w:rsidTr="006C2E9C">
        <w:trPr>
          <w:jc w:val="center"/>
        </w:trPr>
        <w:tc>
          <w:tcPr>
            <w:tcW w:w="3119" w:type="dxa"/>
          </w:tcPr>
          <w:p w14:paraId="4167C6A0" w14:textId="727EE4F8"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Ortaokul</w:t>
            </w:r>
          </w:p>
        </w:tc>
        <w:tc>
          <w:tcPr>
            <w:tcW w:w="1696" w:type="dxa"/>
          </w:tcPr>
          <w:p w14:paraId="453BB407"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10</w:t>
            </w:r>
          </w:p>
        </w:tc>
        <w:tc>
          <w:tcPr>
            <w:tcW w:w="2410" w:type="dxa"/>
          </w:tcPr>
          <w:p w14:paraId="1E764A76"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6,7</w:t>
            </w:r>
          </w:p>
        </w:tc>
      </w:tr>
      <w:tr w:rsidR="00AD6B08" w:rsidRPr="005D1551" w14:paraId="2883EC83" w14:textId="77777777" w:rsidTr="006C2E9C">
        <w:trPr>
          <w:jc w:val="center"/>
        </w:trPr>
        <w:tc>
          <w:tcPr>
            <w:tcW w:w="3119" w:type="dxa"/>
          </w:tcPr>
          <w:p w14:paraId="6D03B7B5" w14:textId="5F392B1B"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 xml:space="preserve">Lise </w:t>
            </w:r>
          </w:p>
        </w:tc>
        <w:tc>
          <w:tcPr>
            <w:tcW w:w="1696" w:type="dxa"/>
          </w:tcPr>
          <w:p w14:paraId="42AB8FB8"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18</w:t>
            </w:r>
          </w:p>
        </w:tc>
        <w:tc>
          <w:tcPr>
            <w:tcW w:w="2410" w:type="dxa"/>
          </w:tcPr>
          <w:p w14:paraId="4AB54E26"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12</w:t>
            </w:r>
          </w:p>
        </w:tc>
      </w:tr>
      <w:tr w:rsidR="00AD6B08" w:rsidRPr="005D1551" w14:paraId="0402E5EA" w14:textId="77777777" w:rsidTr="006C2E9C">
        <w:trPr>
          <w:jc w:val="center"/>
        </w:trPr>
        <w:tc>
          <w:tcPr>
            <w:tcW w:w="3119" w:type="dxa"/>
          </w:tcPr>
          <w:p w14:paraId="681515DC" w14:textId="465B5A9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Üniversite</w:t>
            </w:r>
          </w:p>
        </w:tc>
        <w:tc>
          <w:tcPr>
            <w:tcW w:w="1696" w:type="dxa"/>
          </w:tcPr>
          <w:p w14:paraId="0BF48293"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47</w:t>
            </w:r>
          </w:p>
        </w:tc>
        <w:tc>
          <w:tcPr>
            <w:tcW w:w="2410" w:type="dxa"/>
          </w:tcPr>
          <w:p w14:paraId="3E41F939"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31,3</w:t>
            </w:r>
          </w:p>
        </w:tc>
      </w:tr>
      <w:tr w:rsidR="00AD6B08" w:rsidRPr="005D1551" w14:paraId="695FCD9E" w14:textId="77777777" w:rsidTr="006C2E9C">
        <w:trPr>
          <w:jc w:val="center"/>
        </w:trPr>
        <w:tc>
          <w:tcPr>
            <w:tcW w:w="3119" w:type="dxa"/>
          </w:tcPr>
          <w:p w14:paraId="7E3AEC30"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Yüksek lisans</w:t>
            </w:r>
          </w:p>
        </w:tc>
        <w:tc>
          <w:tcPr>
            <w:tcW w:w="1696" w:type="dxa"/>
          </w:tcPr>
          <w:p w14:paraId="3583F7C2"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5</w:t>
            </w:r>
          </w:p>
        </w:tc>
        <w:tc>
          <w:tcPr>
            <w:tcW w:w="2410" w:type="dxa"/>
          </w:tcPr>
          <w:p w14:paraId="22C48CF1"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3,3</w:t>
            </w:r>
          </w:p>
        </w:tc>
      </w:tr>
      <w:tr w:rsidR="00AD6B08" w:rsidRPr="005D1551" w14:paraId="35BC57ED" w14:textId="77777777" w:rsidTr="006C2E9C">
        <w:trPr>
          <w:jc w:val="center"/>
        </w:trPr>
        <w:tc>
          <w:tcPr>
            <w:tcW w:w="3119" w:type="dxa"/>
          </w:tcPr>
          <w:p w14:paraId="1B601EF6"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 xml:space="preserve">Doktora </w:t>
            </w:r>
          </w:p>
        </w:tc>
        <w:tc>
          <w:tcPr>
            <w:tcW w:w="1696" w:type="dxa"/>
          </w:tcPr>
          <w:p w14:paraId="519080CF"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38</w:t>
            </w:r>
          </w:p>
        </w:tc>
        <w:tc>
          <w:tcPr>
            <w:tcW w:w="2410" w:type="dxa"/>
          </w:tcPr>
          <w:p w14:paraId="2FAA5CF1"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25,3</w:t>
            </w:r>
          </w:p>
        </w:tc>
      </w:tr>
      <w:tr w:rsidR="00AD6B08" w:rsidRPr="005D1551" w14:paraId="537DF7E2" w14:textId="77777777" w:rsidTr="006C2E9C">
        <w:trPr>
          <w:jc w:val="center"/>
        </w:trPr>
        <w:tc>
          <w:tcPr>
            <w:tcW w:w="3119" w:type="dxa"/>
          </w:tcPr>
          <w:p w14:paraId="1585F8CA" w14:textId="30EBD8D1" w:rsidR="00A20407" w:rsidRPr="005D1551" w:rsidRDefault="00A20407" w:rsidP="00B55AE6">
            <w:pPr>
              <w:spacing w:before="120" w:after="60" w:line="360" w:lineRule="auto"/>
              <w:ind w:left="284" w:firstLine="919"/>
              <w:jc w:val="both"/>
              <w:rPr>
                <w:rFonts w:ascii="Times New Roman" w:eastAsia="Times New Roman" w:hAnsi="Times New Roman" w:cs="Times New Roman"/>
                <w:b/>
                <w:sz w:val="20"/>
                <w:szCs w:val="20"/>
              </w:rPr>
            </w:pPr>
            <w:r w:rsidRPr="005D1551">
              <w:rPr>
                <w:rFonts w:ascii="Times New Roman" w:eastAsia="Times New Roman" w:hAnsi="Times New Roman" w:cs="Times New Roman"/>
                <w:b/>
                <w:sz w:val="20"/>
                <w:szCs w:val="20"/>
              </w:rPr>
              <w:t>M</w:t>
            </w:r>
            <w:r w:rsidR="006C2E9C" w:rsidRPr="005D1551">
              <w:rPr>
                <w:rFonts w:ascii="Times New Roman" w:eastAsia="Times New Roman" w:hAnsi="Times New Roman" w:cs="Times New Roman"/>
                <w:b/>
                <w:sz w:val="20"/>
                <w:szCs w:val="20"/>
              </w:rPr>
              <w:t>eslek</w:t>
            </w:r>
          </w:p>
        </w:tc>
        <w:tc>
          <w:tcPr>
            <w:tcW w:w="1696" w:type="dxa"/>
          </w:tcPr>
          <w:p w14:paraId="4FA6211E"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p>
        </w:tc>
        <w:tc>
          <w:tcPr>
            <w:tcW w:w="2410" w:type="dxa"/>
          </w:tcPr>
          <w:p w14:paraId="33515D88"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p>
        </w:tc>
      </w:tr>
      <w:tr w:rsidR="00AD6B08" w:rsidRPr="005D1551" w14:paraId="47A04F3F" w14:textId="77777777" w:rsidTr="006C2E9C">
        <w:trPr>
          <w:jc w:val="center"/>
        </w:trPr>
        <w:tc>
          <w:tcPr>
            <w:tcW w:w="3119" w:type="dxa"/>
          </w:tcPr>
          <w:p w14:paraId="229B6BE6"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Ev Hanımı</w:t>
            </w:r>
          </w:p>
        </w:tc>
        <w:tc>
          <w:tcPr>
            <w:tcW w:w="1696" w:type="dxa"/>
          </w:tcPr>
          <w:p w14:paraId="3F872561"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43</w:t>
            </w:r>
          </w:p>
        </w:tc>
        <w:tc>
          <w:tcPr>
            <w:tcW w:w="2410" w:type="dxa"/>
          </w:tcPr>
          <w:p w14:paraId="3EB1D760"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28,7</w:t>
            </w:r>
          </w:p>
        </w:tc>
      </w:tr>
      <w:tr w:rsidR="00AD6B08" w:rsidRPr="005D1551" w14:paraId="2AE77B68" w14:textId="77777777" w:rsidTr="006C2E9C">
        <w:trPr>
          <w:jc w:val="center"/>
        </w:trPr>
        <w:tc>
          <w:tcPr>
            <w:tcW w:w="3119" w:type="dxa"/>
          </w:tcPr>
          <w:p w14:paraId="6C0D07C4"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İşçi</w:t>
            </w:r>
          </w:p>
        </w:tc>
        <w:tc>
          <w:tcPr>
            <w:tcW w:w="1696" w:type="dxa"/>
          </w:tcPr>
          <w:p w14:paraId="4AEFC8EA"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9</w:t>
            </w:r>
          </w:p>
        </w:tc>
        <w:tc>
          <w:tcPr>
            <w:tcW w:w="2410" w:type="dxa"/>
          </w:tcPr>
          <w:p w14:paraId="6BFB8342"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6,0</w:t>
            </w:r>
          </w:p>
        </w:tc>
      </w:tr>
      <w:tr w:rsidR="00AD6B08" w:rsidRPr="005D1551" w14:paraId="311A87C4" w14:textId="77777777" w:rsidTr="006C2E9C">
        <w:trPr>
          <w:jc w:val="center"/>
        </w:trPr>
        <w:tc>
          <w:tcPr>
            <w:tcW w:w="3119" w:type="dxa"/>
          </w:tcPr>
          <w:p w14:paraId="0D760526"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Memur</w:t>
            </w:r>
          </w:p>
        </w:tc>
        <w:tc>
          <w:tcPr>
            <w:tcW w:w="1696" w:type="dxa"/>
          </w:tcPr>
          <w:p w14:paraId="03B03769"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14</w:t>
            </w:r>
          </w:p>
        </w:tc>
        <w:tc>
          <w:tcPr>
            <w:tcW w:w="2410" w:type="dxa"/>
          </w:tcPr>
          <w:p w14:paraId="1A4A57E4"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9,3</w:t>
            </w:r>
          </w:p>
        </w:tc>
      </w:tr>
      <w:tr w:rsidR="00AD6B08" w:rsidRPr="005D1551" w14:paraId="7DC21797" w14:textId="77777777" w:rsidTr="006C2E9C">
        <w:trPr>
          <w:jc w:val="center"/>
        </w:trPr>
        <w:tc>
          <w:tcPr>
            <w:tcW w:w="3119" w:type="dxa"/>
          </w:tcPr>
          <w:p w14:paraId="61D73E0C"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Akademisyen</w:t>
            </w:r>
          </w:p>
        </w:tc>
        <w:tc>
          <w:tcPr>
            <w:tcW w:w="1696" w:type="dxa"/>
          </w:tcPr>
          <w:p w14:paraId="19743604"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44</w:t>
            </w:r>
          </w:p>
        </w:tc>
        <w:tc>
          <w:tcPr>
            <w:tcW w:w="2410" w:type="dxa"/>
          </w:tcPr>
          <w:p w14:paraId="1A490143"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29,3</w:t>
            </w:r>
          </w:p>
        </w:tc>
      </w:tr>
      <w:tr w:rsidR="00AD6B08" w:rsidRPr="005D1551" w14:paraId="10788781" w14:textId="77777777" w:rsidTr="00AD40BF">
        <w:trPr>
          <w:jc w:val="center"/>
        </w:trPr>
        <w:tc>
          <w:tcPr>
            <w:tcW w:w="3119" w:type="dxa"/>
          </w:tcPr>
          <w:p w14:paraId="1A0FFB29"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lastRenderedPageBreak/>
              <w:t>Öğretmen</w:t>
            </w:r>
          </w:p>
        </w:tc>
        <w:tc>
          <w:tcPr>
            <w:tcW w:w="1696" w:type="dxa"/>
          </w:tcPr>
          <w:p w14:paraId="72231EBF"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28</w:t>
            </w:r>
          </w:p>
        </w:tc>
        <w:tc>
          <w:tcPr>
            <w:tcW w:w="2410" w:type="dxa"/>
          </w:tcPr>
          <w:p w14:paraId="485F70D5"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18,7</w:t>
            </w:r>
          </w:p>
        </w:tc>
      </w:tr>
      <w:tr w:rsidR="00AD6B08" w:rsidRPr="005D1551" w14:paraId="5E25AF52" w14:textId="77777777" w:rsidTr="00AD40BF">
        <w:trPr>
          <w:jc w:val="center"/>
        </w:trPr>
        <w:tc>
          <w:tcPr>
            <w:tcW w:w="3119" w:type="dxa"/>
            <w:tcBorders>
              <w:bottom w:val="single" w:sz="4" w:space="0" w:color="auto"/>
            </w:tcBorders>
          </w:tcPr>
          <w:p w14:paraId="7AF31775"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Diğer</w:t>
            </w:r>
          </w:p>
        </w:tc>
        <w:tc>
          <w:tcPr>
            <w:tcW w:w="1696" w:type="dxa"/>
            <w:tcBorders>
              <w:bottom w:val="single" w:sz="4" w:space="0" w:color="auto"/>
            </w:tcBorders>
          </w:tcPr>
          <w:p w14:paraId="5AD7DB2A"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12</w:t>
            </w:r>
          </w:p>
        </w:tc>
        <w:tc>
          <w:tcPr>
            <w:tcW w:w="2410" w:type="dxa"/>
            <w:tcBorders>
              <w:bottom w:val="single" w:sz="4" w:space="0" w:color="auto"/>
            </w:tcBorders>
          </w:tcPr>
          <w:p w14:paraId="25FFB73F" w14:textId="77777777" w:rsidR="00A20407" w:rsidRPr="005D1551" w:rsidRDefault="00A20407" w:rsidP="00B55AE6">
            <w:pPr>
              <w:spacing w:before="120" w:after="60" w:line="360" w:lineRule="auto"/>
              <w:ind w:left="284" w:firstLine="919"/>
              <w:jc w:val="both"/>
              <w:rPr>
                <w:rFonts w:ascii="Times New Roman" w:eastAsia="Times New Roman" w:hAnsi="Times New Roman" w:cs="Times New Roman"/>
                <w:sz w:val="20"/>
                <w:szCs w:val="20"/>
              </w:rPr>
            </w:pPr>
            <w:r w:rsidRPr="005D1551">
              <w:rPr>
                <w:rFonts w:ascii="Times New Roman" w:eastAsia="Times New Roman" w:hAnsi="Times New Roman" w:cs="Times New Roman"/>
                <w:sz w:val="20"/>
                <w:szCs w:val="20"/>
              </w:rPr>
              <w:t>8,0</w:t>
            </w:r>
          </w:p>
        </w:tc>
      </w:tr>
    </w:tbl>
    <w:p w14:paraId="66C3C8E9" w14:textId="77777777" w:rsidR="00A20407" w:rsidRPr="005D1551" w:rsidRDefault="00A20407" w:rsidP="00B55AE6">
      <w:pPr>
        <w:autoSpaceDE w:val="0"/>
        <w:autoSpaceDN w:val="0"/>
        <w:adjustRightInd w:val="0"/>
        <w:spacing w:before="120" w:after="0" w:line="360" w:lineRule="auto"/>
        <w:ind w:left="284" w:firstLine="919"/>
        <w:jc w:val="both"/>
        <w:rPr>
          <w:rFonts w:ascii="Times New Roman" w:hAnsi="Times New Roman" w:cs="Times New Roman"/>
          <w:sz w:val="24"/>
          <w:szCs w:val="24"/>
        </w:rPr>
      </w:pPr>
    </w:p>
    <w:p w14:paraId="5CDF46E4" w14:textId="77777777" w:rsidR="00232E03" w:rsidRPr="005D1551" w:rsidRDefault="00A20407" w:rsidP="00232E03">
      <w:pPr>
        <w:autoSpaceDE w:val="0"/>
        <w:autoSpaceDN w:val="0"/>
        <w:adjustRightInd w:val="0"/>
        <w:spacing w:before="120" w:after="360" w:line="360" w:lineRule="auto"/>
        <w:ind w:left="284" w:firstLine="919"/>
        <w:jc w:val="both"/>
        <w:rPr>
          <w:rFonts w:ascii="Times New Roman" w:eastAsia="Calibri" w:hAnsi="Times New Roman" w:cs="Times New Roman"/>
          <w:sz w:val="24"/>
          <w:szCs w:val="24"/>
        </w:rPr>
      </w:pPr>
      <w:r w:rsidRPr="005D1551">
        <w:rPr>
          <w:rFonts w:ascii="Times New Roman" w:eastAsia="Calibri" w:hAnsi="Times New Roman" w:cs="Times New Roman"/>
          <w:sz w:val="24"/>
          <w:szCs w:val="24"/>
        </w:rPr>
        <w:t xml:space="preserve">Araştırmaya katılan kişilerin 39’unda (%26) hipertansiyon (HT), 41’inde (%27,3) </w:t>
      </w:r>
      <w:proofErr w:type="spellStart"/>
      <w:r w:rsidRPr="005D1551">
        <w:rPr>
          <w:rFonts w:ascii="Times New Roman" w:eastAsia="Calibri" w:hAnsi="Times New Roman" w:cs="Times New Roman"/>
          <w:sz w:val="24"/>
          <w:szCs w:val="24"/>
        </w:rPr>
        <w:t>diyabetes</w:t>
      </w:r>
      <w:proofErr w:type="spellEnd"/>
      <w:r w:rsidRPr="005D1551">
        <w:rPr>
          <w:rFonts w:ascii="Times New Roman" w:eastAsia="Calibri" w:hAnsi="Times New Roman" w:cs="Times New Roman"/>
          <w:sz w:val="24"/>
          <w:szCs w:val="24"/>
        </w:rPr>
        <w:t xml:space="preserve"> </w:t>
      </w:r>
      <w:proofErr w:type="spellStart"/>
      <w:r w:rsidRPr="005D1551">
        <w:rPr>
          <w:rFonts w:ascii="Times New Roman" w:eastAsia="Calibri" w:hAnsi="Times New Roman" w:cs="Times New Roman"/>
          <w:sz w:val="24"/>
          <w:szCs w:val="24"/>
        </w:rPr>
        <w:t>mellitus</w:t>
      </w:r>
      <w:proofErr w:type="spellEnd"/>
      <w:r w:rsidRPr="005D1551">
        <w:rPr>
          <w:rFonts w:ascii="Times New Roman" w:eastAsia="Calibri" w:hAnsi="Times New Roman" w:cs="Times New Roman"/>
          <w:sz w:val="24"/>
          <w:szCs w:val="24"/>
        </w:rPr>
        <w:t xml:space="preserve">, 35’inde (%23,3) KOAH, 33’ünde (%22) osteoporoz ve 8’inde (%5,3) </w:t>
      </w:r>
      <w:proofErr w:type="spellStart"/>
      <w:r w:rsidRPr="005D1551">
        <w:rPr>
          <w:rFonts w:ascii="Times New Roman" w:eastAsia="Calibri" w:hAnsi="Times New Roman" w:cs="Times New Roman"/>
          <w:sz w:val="24"/>
          <w:szCs w:val="24"/>
        </w:rPr>
        <w:t>romatoid</w:t>
      </w:r>
      <w:proofErr w:type="spellEnd"/>
      <w:r w:rsidRPr="005D1551">
        <w:rPr>
          <w:rFonts w:ascii="Times New Roman" w:eastAsia="Calibri" w:hAnsi="Times New Roman" w:cs="Times New Roman"/>
          <w:sz w:val="24"/>
          <w:szCs w:val="24"/>
        </w:rPr>
        <w:t xml:space="preserve"> </w:t>
      </w:r>
      <w:proofErr w:type="spellStart"/>
      <w:r w:rsidRPr="005D1551">
        <w:rPr>
          <w:rFonts w:ascii="Times New Roman" w:eastAsia="Calibri" w:hAnsi="Times New Roman" w:cs="Times New Roman"/>
          <w:sz w:val="24"/>
          <w:szCs w:val="24"/>
        </w:rPr>
        <w:t>artrit</w:t>
      </w:r>
      <w:proofErr w:type="spellEnd"/>
      <w:r w:rsidRPr="005D1551">
        <w:rPr>
          <w:rFonts w:ascii="Times New Roman" w:eastAsia="Calibri" w:hAnsi="Times New Roman" w:cs="Times New Roman"/>
          <w:sz w:val="24"/>
          <w:szCs w:val="24"/>
        </w:rPr>
        <w:t xml:space="preserve"> vardı (Tablo 2).</w:t>
      </w:r>
      <w:bookmarkStart w:id="6" w:name="_Toc12471982"/>
    </w:p>
    <w:p w14:paraId="761D064B" w14:textId="001265FD" w:rsidR="00A20407" w:rsidRPr="005D1551" w:rsidRDefault="00A20407" w:rsidP="00232E03">
      <w:pPr>
        <w:autoSpaceDE w:val="0"/>
        <w:autoSpaceDN w:val="0"/>
        <w:adjustRightInd w:val="0"/>
        <w:spacing w:before="120" w:after="360" w:line="360" w:lineRule="auto"/>
        <w:ind w:left="284" w:firstLine="919"/>
        <w:jc w:val="both"/>
        <w:rPr>
          <w:rFonts w:ascii="Times New Roman" w:eastAsiaTheme="majorEastAsia" w:hAnsi="Times New Roman" w:cs="Times New Roman"/>
          <w:b/>
          <w:iCs/>
          <w:sz w:val="24"/>
          <w:szCs w:val="24"/>
        </w:rPr>
      </w:pPr>
      <w:r w:rsidRPr="005D1551">
        <w:rPr>
          <w:rFonts w:ascii="Times New Roman" w:hAnsi="Times New Roman" w:cs="Times New Roman"/>
          <w:b/>
          <w:sz w:val="24"/>
          <w:szCs w:val="24"/>
        </w:rPr>
        <w:t>Tablo 2</w:t>
      </w:r>
      <w:r w:rsidRPr="005D1551">
        <w:rPr>
          <w:rFonts w:ascii="Times New Roman" w:hAnsi="Times New Roman" w:cs="Times New Roman"/>
          <w:sz w:val="24"/>
          <w:szCs w:val="24"/>
        </w:rPr>
        <w:t xml:space="preserve">. </w:t>
      </w:r>
      <w:r w:rsidRPr="005D1551">
        <w:rPr>
          <w:rFonts w:ascii="Times New Roman" w:hAnsi="Times New Roman" w:cs="Times New Roman"/>
          <w:b/>
          <w:sz w:val="24"/>
          <w:szCs w:val="24"/>
        </w:rPr>
        <w:t>Katılımcıların mevcut kronik hastalıkları</w:t>
      </w:r>
      <w:bookmarkEnd w:id="6"/>
      <w:r w:rsidRPr="005D1551">
        <w:rPr>
          <w:rFonts w:ascii="Times New Roman" w:hAnsi="Times New Roman" w:cs="Times New Roman"/>
          <w:sz w:val="24"/>
          <w:szCs w:val="24"/>
        </w:rPr>
        <w:t xml:space="preserve"> </w:t>
      </w:r>
    </w:p>
    <w:tbl>
      <w:tblPr>
        <w:tblW w:w="0" w:type="auto"/>
        <w:jc w:val="center"/>
        <w:tblLook w:val="04A0" w:firstRow="1" w:lastRow="0" w:firstColumn="1" w:lastColumn="0" w:noHBand="0" w:noVBand="1"/>
      </w:tblPr>
      <w:tblGrid>
        <w:gridCol w:w="2972"/>
        <w:gridCol w:w="1843"/>
        <w:gridCol w:w="2410"/>
      </w:tblGrid>
      <w:tr w:rsidR="00AD6B08" w:rsidRPr="006708F9" w14:paraId="586B8038" w14:textId="77777777" w:rsidTr="006C2E9C">
        <w:trPr>
          <w:jc w:val="center"/>
        </w:trPr>
        <w:tc>
          <w:tcPr>
            <w:tcW w:w="2972" w:type="dxa"/>
            <w:tcBorders>
              <w:bottom w:val="single" w:sz="4" w:space="0" w:color="auto"/>
            </w:tcBorders>
          </w:tcPr>
          <w:p w14:paraId="5287550B" w14:textId="77777777" w:rsidR="00A20407" w:rsidRPr="006708F9" w:rsidRDefault="00A20407" w:rsidP="00B55AE6">
            <w:pPr>
              <w:pStyle w:val="Balk6"/>
              <w:spacing w:before="120" w:after="40" w:line="360" w:lineRule="auto"/>
              <w:ind w:left="284" w:firstLine="919"/>
              <w:jc w:val="both"/>
              <w:rPr>
                <w:rFonts w:ascii="Times New Roman" w:eastAsia="Calibri" w:hAnsi="Times New Roman" w:cs="Times New Roman"/>
                <w:b/>
                <w:i/>
                <w:color w:val="auto"/>
                <w:sz w:val="20"/>
                <w:szCs w:val="20"/>
              </w:rPr>
            </w:pPr>
          </w:p>
        </w:tc>
        <w:tc>
          <w:tcPr>
            <w:tcW w:w="1843" w:type="dxa"/>
            <w:tcBorders>
              <w:bottom w:val="single" w:sz="4" w:space="0" w:color="auto"/>
            </w:tcBorders>
          </w:tcPr>
          <w:p w14:paraId="2CD6731E" w14:textId="77777777" w:rsidR="00A20407" w:rsidRPr="006708F9" w:rsidRDefault="00A20407" w:rsidP="00B55AE6">
            <w:pPr>
              <w:pStyle w:val="Balk6"/>
              <w:spacing w:before="120" w:after="40" w:line="360" w:lineRule="auto"/>
              <w:ind w:left="284" w:firstLine="919"/>
              <w:jc w:val="both"/>
              <w:rPr>
                <w:rFonts w:ascii="Times New Roman" w:eastAsia="Calibri" w:hAnsi="Times New Roman" w:cs="Times New Roman"/>
                <w:b/>
                <w:i/>
                <w:color w:val="auto"/>
                <w:sz w:val="20"/>
                <w:szCs w:val="20"/>
              </w:rPr>
            </w:pPr>
            <w:proofErr w:type="gramStart"/>
            <w:r w:rsidRPr="006708F9">
              <w:rPr>
                <w:rFonts w:ascii="Times New Roman" w:eastAsia="Times New Roman" w:hAnsi="Times New Roman" w:cs="Times New Roman"/>
                <w:b/>
                <w:color w:val="auto"/>
                <w:sz w:val="20"/>
                <w:szCs w:val="20"/>
              </w:rPr>
              <w:t>n</w:t>
            </w:r>
            <w:proofErr w:type="gramEnd"/>
          </w:p>
        </w:tc>
        <w:tc>
          <w:tcPr>
            <w:tcW w:w="2410" w:type="dxa"/>
            <w:tcBorders>
              <w:bottom w:val="single" w:sz="4" w:space="0" w:color="auto"/>
            </w:tcBorders>
          </w:tcPr>
          <w:p w14:paraId="3A0B23DC" w14:textId="77777777" w:rsidR="00A20407" w:rsidRPr="006708F9" w:rsidRDefault="00A20407" w:rsidP="00B55AE6">
            <w:pPr>
              <w:pStyle w:val="Balk6"/>
              <w:spacing w:before="120" w:after="40" w:line="360" w:lineRule="auto"/>
              <w:ind w:left="284" w:firstLine="919"/>
              <w:jc w:val="both"/>
              <w:rPr>
                <w:rFonts w:ascii="Times New Roman" w:eastAsia="Calibri" w:hAnsi="Times New Roman" w:cs="Times New Roman"/>
                <w:b/>
                <w:i/>
                <w:color w:val="auto"/>
                <w:sz w:val="20"/>
                <w:szCs w:val="20"/>
              </w:rPr>
            </w:pPr>
            <w:r w:rsidRPr="006708F9">
              <w:rPr>
                <w:rFonts w:ascii="Times New Roman" w:eastAsia="Times New Roman" w:hAnsi="Times New Roman" w:cs="Times New Roman"/>
                <w:b/>
                <w:color w:val="auto"/>
                <w:sz w:val="20"/>
                <w:szCs w:val="20"/>
              </w:rPr>
              <w:t>%</w:t>
            </w:r>
          </w:p>
        </w:tc>
      </w:tr>
      <w:tr w:rsidR="00AD6B08" w:rsidRPr="006708F9" w14:paraId="626582D4" w14:textId="77777777" w:rsidTr="006C2E9C">
        <w:trPr>
          <w:jc w:val="center"/>
        </w:trPr>
        <w:tc>
          <w:tcPr>
            <w:tcW w:w="2972" w:type="dxa"/>
            <w:tcBorders>
              <w:top w:val="single" w:sz="4" w:space="0" w:color="auto"/>
            </w:tcBorders>
          </w:tcPr>
          <w:p w14:paraId="2F22C142"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b/>
                <w:sz w:val="20"/>
                <w:szCs w:val="20"/>
              </w:rPr>
            </w:pPr>
            <w:r w:rsidRPr="006708F9">
              <w:rPr>
                <w:rFonts w:ascii="Times New Roman" w:eastAsia="Times New Roman" w:hAnsi="Times New Roman" w:cs="Times New Roman"/>
                <w:b/>
                <w:sz w:val="20"/>
                <w:szCs w:val="20"/>
              </w:rPr>
              <w:t>Tip 2 Diyabet</w:t>
            </w:r>
          </w:p>
        </w:tc>
        <w:tc>
          <w:tcPr>
            <w:tcW w:w="1843" w:type="dxa"/>
            <w:tcBorders>
              <w:top w:val="single" w:sz="4" w:space="0" w:color="auto"/>
            </w:tcBorders>
          </w:tcPr>
          <w:p w14:paraId="635CBD71"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p>
        </w:tc>
        <w:tc>
          <w:tcPr>
            <w:tcW w:w="2410" w:type="dxa"/>
            <w:tcBorders>
              <w:top w:val="single" w:sz="4" w:space="0" w:color="auto"/>
            </w:tcBorders>
          </w:tcPr>
          <w:p w14:paraId="77DC884A"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p>
        </w:tc>
      </w:tr>
      <w:tr w:rsidR="00AD6B08" w:rsidRPr="006708F9" w14:paraId="17C94A50" w14:textId="77777777" w:rsidTr="006C2E9C">
        <w:trPr>
          <w:jc w:val="center"/>
        </w:trPr>
        <w:tc>
          <w:tcPr>
            <w:tcW w:w="2972" w:type="dxa"/>
          </w:tcPr>
          <w:p w14:paraId="6B58FA45"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r w:rsidRPr="006708F9">
              <w:rPr>
                <w:rFonts w:ascii="Times New Roman" w:eastAsia="Times New Roman" w:hAnsi="Times New Roman" w:cs="Times New Roman"/>
                <w:sz w:val="20"/>
                <w:szCs w:val="20"/>
              </w:rPr>
              <w:t>Var</w:t>
            </w:r>
          </w:p>
        </w:tc>
        <w:tc>
          <w:tcPr>
            <w:tcW w:w="1843" w:type="dxa"/>
          </w:tcPr>
          <w:p w14:paraId="4F86218D"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r w:rsidRPr="006708F9">
              <w:rPr>
                <w:rFonts w:ascii="Times New Roman" w:eastAsia="Times New Roman" w:hAnsi="Times New Roman" w:cs="Times New Roman"/>
                <w:sz w:val="20"/>
                <w:szCs w:val="20"/>
              </w:rPr>
              <w:t>41</w:t>
            </w:r>
          </w:p>
        </w:tc>
        <w:tc>
          <w:tcPr>
            <w:tcW w:w="2410" w:type="dxa"/>
          </w:tcPr>
          <w:p w14:paraId="67C1FB0F"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r w:rsidRPr="006708F9">
              <w:rPr>
                <w:rFonts w:ascii="Times New Roman" w:eastAsia="Times New Roman" w:hAnsi="Times New Roman" w:cs="Times New Roman"/>
                <w:sz w:val="20"/>
                <w:szCs w:val="20"/>
              </w:rPr>
              <w:t>27,3</w:t>
            </w:r>
          </w:p>
        </w:tc>
      </w:tr>
      <w:tr w:rsidR="00AD6B08" w:rsidRPr="006708F9" w14:paraId="58F4D013" w14:textId="77777777" w:rsidTr="006C2E9C">
        <w:trPr>
          <w:jc w:val="center"/>
        </w:trPr>
        <w:tc>
          <w:tcPr>
            <w:tcW w:w="2972" w:type="dxa"/>
          </w:tcPr>
          <w:p w14:paraId="2034AD11"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r w:rsidRPr="006708F9">
              <w:rPr>
                <w:rFonts w:ascii="Times New Roman" w:eastAsia="Times New Roman" w:hAnsi="Times New Roman" w:cs="Times New Roman"/>
                <w:sz w:val="20"/>
                <w:szCs w:val="20"/>
              </w:rPr>
              <w:t>Yok</w:t>
            </w:r>
          </w:p>
        </w:tc>
        <w:tc>
          <w:tcPr>
            <w:tcW w:w="1843" w:type="dxa"/>
          </w:tcPr>
          <w:p w14:paraId="1FE01C07"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r w:rsidRPr="006708F9">
              <w:rPr>
                <w:rFonts w:ascii="Times New Roman" w:eastAsia="Times New Roman" w:hAnsi="Times New Roman" w:cs="Times New Roman"/>
                <w:sz w:val="20"/>
                <w:szCs w:val="20"/>
              </w:rPr>
              <w:t>109</w:t>
            </w:r>
          </w:p>
        </w:tc>
        <w:tc>
          <w:tcPr>
            <w:tcW w:w="2410" w:type="dxa"/>
          </w:tcPr>
          <w:p w14:paraId="739FEA84"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r w:rsidRPr="006708F9">
              <w:rPr>
                <w:rFonts w:ascii="Times New Roman" w:eastAsia="Times New Roman" w:hAnsi="Times New Roman" w:cs="Times New Roman"/>
                <w:sz w:val="20"/>
                <w:szCs w:val="20"/>
              </w:rPr>
              <w:t>72,7</w:t>
            </w:r>
          </w:p>
        </w:tc>
      </w:tr>
      <w:tr w:rsidR="00AD6B08" w:rsidRPr="006708F9" w14:paraId="68BE87E8" w14:textId="77777777" w:rsidTr="006C2E9C">
        <w:trPr>
          <w:jc w:val="center"/>
        </w:trPr>
        <w:tc>
          <w:tcPr>
            <w:tcW w:w="2972" w:type="dxa"/>
          </w:tcPr>
          <w:p w14:paraId="42DF4823"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b/>
                <w:sz w:val="20"/>
                <w:szCs w:val="20"/>
              </w:rPr>
            </w:pPr>
            <w:r w:rsidRPr="006708F9">
              <w:rPr>
                <w:rFonts w:ascii="Times New Roman" w:eastAsia="Times New Roman" w:hAnsi="Times New Roman" w:cs="Times New Roman"/>
                <w:b/>
                <w:sz w:val="20"/>
                <w:szCs w:val="20"/>
              </w:rPr>
              <w:t>Hipertansiyon</w:t>
            </w:r>
          </w:p>
        </w:tc>
        <w:tc>
          <w:tcPr>
            <w:tcW w:w="1843" w:type="dxa"/>
          </w:tcPr>
          <w:p w14:paraId="0ADF3B63"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p>
        </w:tc>
        <w:tc>
          <w:tcPr>
            <w:tcW w:w="2410" w:type="dxa"/>
          </w:tcPr>
          <w:p w14:paraId="30F6022F"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p>
        </w:tc>
      </w:tr>
      <w:tr w:rsidR="00AD6B08" w:rsidRPr="006708F9" w14:paraId="2547AB33" w14:textId="77777777" w:rsidTr="006C2E9C">
        <w:trPr>
          <w:jc w:val="center"/>
        </w:trPr>
        <w:tc>
          <w:tcPr>
            <w:tcW w:w="2972" w:type="dxa"/>
          </w:tcPr>
          <w:p w14:paraId="7070D061"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r w:rsidRPr="006708F9">
              <w:rPr>
                <w:rFonts w:ascii="Times New Roman" w:eastAsia="Times New Roman" w:hAnsi="Times New Roman" w:cs="Times New Roman"/>
                <w:sz w:val="20"/>
                <w:szCs w:val="20"/>
              </w:rPr>
              <w:t>Var</w:t>
            </w:r>
          </w:p>
        </w:tc>
        <w:tc>
          <w:tcPr>
            <w:tcW w:w="1843" w:type="dxa"/>
          </w:tcPr>
          <w:p w14:paraId="32F7182B"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r w:rsidRPr="006708F9">
              <w:rPr>
                <w:rFonts w:ascii="Times New Roman" w:eastAsia="Times New Roman" w:hAnsi="Times New Roman" w:cs="Times New Roman"/>
                <w:sz w:val="20"/>
                <w:szCs w:val="20"/>
              </w:rPr>
              <w:t>39</w:t>
            </w:r>
          </w:p>
        </w:tc>
        <w:tc>
          <w:tcPr>
            <w:tcW w:w="2410" w:type="dxa"/>
          </w:tcPr>
          <w:p w14:paraId="4C66F812"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r w:rsidRPr="006708F9">
              <w:rPr>
                <w:rFonts w:ascii="Times New Roman" w:eastAsia="Times New Roman" w:hAnsi="Times New Roman" w:cs="Times New Roman"/>
                <w:sz w:val="20"/>
                <w:szCs w:val="20"/>
              </w:rPr>
              <w:t>26,0</w:t>
            </w:r>
          </w:p>
        </w:tc>
      </w:tr>
      <w:tr w:rsidR="00AD6B08" w:rsidRPr="006708F9" w14:paraId="12C11779" w14:textId="77777777" w:rsidTr="006C2E9C">
        <w:trPr>
          <w:jc w:val="center"/>
        </w:trPr>
        <w:tc>
          <w:tcPr>
            <w:tcW w:w="2972" w:type="dxa"/>
          </w:tcPr>
          <w:p w14:paraId="497F8324"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r w:rsidRPr="006708F9">
              <w:rPr>
                <w:rFonts w:ascii="Times New Roman" w:eastAsia="Times New Roman" w:hAnsi="Times New Roman" w:cs="Times New Roman"/>
                <w:sz w:val="20"/>
                <w:szCs w:val="20"/>
              </w:rPr>
              <w:t>Yok</w:t>
            </w:r>
          </w:p>
        </w:tc>
        <w:tc>
          <w:tcPr>
            <w:tcW w:w="1843" w:type="dxa"/>
          </w:tcPr>
          <w:p w14:paraId="3BD6DE16"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r w:rsidRPr="006708F9">
              <w:rPr>
                <w:rFonts w:ascii="Times New Roman" w:eastAsia="Times New Roman" w:hAnsi="Times New Roman" w:cs="Times New Roman"/>
                <w:sz w:val="20"/>
                <w:szCs w:val="20"/>
              </w:rPr>
              <w:t>111</w:t>
            </w:r>
          </w:p>
        </w:tc>
        <w:tc>
          <w:tcPr>
            <w:tcW w:w="2410" w:type="dxa"/>
          </w:tcPr>
          <w:p w14:paraId="3D12BBF2"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r w:rsidRPr="006708F9">
              <w:rPr>
                <w:rFonts w:ascii="Times New Roman" w:eastAsia="Times New Roman" w:hAnsi="Times New Roman" w:cs="Times New Roman"/>
                <w:sz w:val="20"/>
                <w:szCs w:val="20"/>
              </w:rPr>
              <w:t>74,0</w:t>
            </w:r>
          </w:p>
        </w:tc>
      </w:tr>
      <w:tr w:rsidR="00AD6B08" w:rsidRPr="006708F9" w14:paraId="6089AD1B" w14:textId="77777777" w:rsidTr="006C2E9C">
        <w:trPr>
          <w:jc w:val="center"/>
        </w:trPr>
        <w:tc>
          <w:tcPr>
            <w:tcW w:w="2972" w:type="dxa"/>
          </w:tcPr>
          <w:p w14:paraId="14AE274B" w14:textId="77777777" w:rsidR="00A20407" w:rsidRPr="006708F9" w:rsidRDefault="00A20407" w:rsidP="00B55AE6">
            <w:pPr>
              <w:pStyle w:val="Balk6"/>
              <w:spacing w:before="120" w:after="40" w:line="360" w:lineRule="auto"/>
              <w:ind w:left="284" w:firstLine="919"/>
              <w:jc w:val="both"/>
              <w:rPr>
                <w:rFonts w:ascii="Times New Roman" w:eastAsia="Calibri" w:hAnsi="Times New Roman" w:cs="Times New Roman"/>
                <w:b/>
                <w:i/>
                <w:color w:val="auto"/>
                <w:sz w:val="20"/>
                <w:szCs w:val="20"/>
              </w:rPr>
            </w:pPr>
            <w:r w:rsidRPr="006708F9">
              <w:rPr>
                <w:rFonts w:ascii="Times New Roman" w:eastAsia="Times New Roman" w:hAnsi="Times New Roman" w:cs="Times New Roman"/>
                <w:b/>
                <w:color w:val="auto"/>
                <w:sz w:val="20"/>
                <w:szCs w:val="20"/>
              </w:rPr>
              <w:t>KOAH</w:t>
            </w:r>
          </w:p>
        </w:tc>
        <w:tc>
          <w:tcPr>
            <w:tcW w:w="1843" w:type="dxa"/>
          </w:tcPr>
          <w:p w14:paraId="782633C5" w14:textId="77777777" w:rsidR="00A20407" w:rsidRPr="006708F9" w:rsidRDefault="00A20407" w:rsidP="00B55AE6">
            <w:pPr>
              <w:pStyle w:val="Balk6"/>
              <w:spacing w:before="120" w:after="40" w:line="360" w:lineRule="auto"/>
              <w:ind w:left="284" w:firstLine="919"/>
              <w:jc w:val="both"/>
              <w:rPr>
                <w:rFonts w:ascii="Times New Roman" w:eastAsia="Calibri" w:hAnsi="Times New Roman" w:cs="Times New Roman"/>
                <w:b/>
                <w:i/>
                <w:color w:val="auto"/>
                <w:sz w:val="20"/>
                <w:szCs w:val="20"/>
              </w:rPr>
            </w:pPr>
          </w:p>
        </w:tc>
        <w:tc>
          <w:tcPr>
            <w:tcW w:w="2410" w:type="dxa"/>
          </w:tcPr>
          <w:p w14:paraId="6C9D105D" w14:textId="77777777" w:rsidR="00A20407" w:rsidRPr="006708F9" w:rsidRDefault="00A20407" w:rsidP="00B55AE6">
            <w:pPr>
              <w:pStyle w:val="Balk6"/>
              <w:spacing w:before="120" w:after="40" w:line="360" w:lineRule="auto"/>
              <w:ind w:left="284" w:firstLine="919"/>
              <w:jc w:val="both"/>
              <w:rPr>
                <w:rFonts w:ascii="Times New Roman" w:eastAsia="Calibri" w:hAnsi="Times New Roman" w:cs="Times New Roman"/>
                <w:b/>
                <w:i/>
                <w:color w:val="auto"/>
                <w:sz w:val="20"/>
                <w:szCs w:val="20"/>
              </w:rPr>
            </w:pPr>
          </w:p>
        </w:tc>
      </w:tr>
      <w:tr w:rsidR="00AD6B08" w:rsidRPr="006708F9" w14:paraId="1021268B" w14:textId="77777777" w:rsidTr="006C2E9C">
        <w:trPr>
          <w:jc w:val="center"/>
        </w:trPr>
        <w:tc>
          <w:tcPr>
            <w:tcW w:w="2972" w:type="dxa"/>
          </w:tcPr>
          <w:p w14:paraId="1CC2BF40"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r w:rsidRPr="006708F9">
              <w:rPr>
                <w:rFonts w:ascii="Times New Roman" w:eastAsia="Times New Roman" w:hAnsi="Times New Roman" w:cs="Times New Roman"/>
                <w:sz w:val="20"/>
                <w:szCs w:val="20"/>
              </w:rPr>
              <w:t>Var</w:t>
            </w:r>
          </w:p>
        </w:tc>
        <w:tc>
          <w:tcPr>
            <w:tcW w:w="1843" w:type="dxa"/>
          </w:tcPr>
          <w:p w14:paraId="762FB6F0"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r w:rsidRPr="006708F9">
              <w:rPr>
                <w:rFonts w:ascii="Times New Roman" w:eastAsia="Times New Roman" w:hAnsi="Times New Roman" w:cs="Times New Roman"/>
                <w:sz w:val="20"/>
                <w:szCs w:val="20"/>
              </w:rPr>
              <w:t>35</w:t>
            </w:r>
          </w:p>
        </w:tc>
        <w:tc>
          <w:tcPr>
            <w:tcW w:w="2410" w:type="dxa"/>
          </w:tcPr>
          <w:p w14:paraId="1F8A1A56"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r w:rsidRPr="006708F9">
              <w:rPr>
                <w:rFonts w:ascii="Times New Roman" w:eastAsia="Times New Roman" w:hAnsi="Times New Roman" w:cs="Times New Roman"/>
                <w:sz w:val="20"/>
                <w:szCs w:val="20"/>
              </w:rPr>
              <w:t>23,3</w:t>
            </w:r>
          </w:p>
        </w:tc>
      </w:tr>
      <w:tr w:rsidR="00AD6B08" w:rsidRPr="006708F9" w14:paraId="16DD49EE" w14:textId="77777777" w:rsidTr="006C2E9C">
        <w:trPr>
          <w:jc w:val="center"/>
        </w:trPr>
        <w:tc>
          <w:tcPr>
            <w:tcW w:w="2972" w:type="dxa"/>
          </w:tcPr>
          <w:p w14:paraId="62D0590B"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r w:rsidRPr="006708F9">
              <w:rPr>
                <w:rFonts w:ascii="Times New Roman" w:eastAsia="Times New Roman" w:hAnsi="Times New Roman" w:cs="Times New Roman"/>
                <w:sz w:val="20"/>
                <w:szCs w:val="20"/>
              </w:rPr>
              <w:t>Yok</w:t>
            </w:r>
          </w:p>
        </w:tc>
        <w:tc>
          <w:tcPr>
            <w:tcW w:w="1843" w:type="dxa"/>
          </w:tcPr>
          <w:p w14:paraId="6DF4DDD3"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r w:rsidRPr="006708F9">
              <w:rPr>
                <w:rFonts w:ascii="Times New Roman" w:eastAsia="Times New Roman" w:hAnsi="Times New Roman" w:cs="Times New Roman"/>
                <w:sz w:val="20"/>
                <w:szCs w:val="20"/>
              </w:rPr>
              <w:t>115</w:t>
            </w:r>
          </w:p>
        </w:tc>
        <w:tc>
          <w:tcPr>
            <w:tcW w:w="2410" w:type="dxa"/>
          </w:tcPr>
          <w:p w14:paraId="65EED7E5"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r w:rsidRPr="006708F9">
              <w:rPr>
                <w:rFonts w:ascii="Times New Roman" w:eastAsia="Times New Roman" w:hAnsi="Times New Roman" w:cs="Times New Roman"/>
                <w:sz w:val="20"/>
                <w:szCs w:val="20"/>
              </w:rPr>
              <w:t>76,7</w:t>
            </w:r>
          </w:p>
        </w:tc>
      </w:tr>
      <w:tr w:rsidR="00AD6B08" w:rsidRPr="006708F9" w14:paraId="2FD3726B" w14:textId="77777777" w:rsidTr="006C2E9C">
        <w:trPr>
          <w:jc w:val="center"/>
        </w:trPr>
        <w:tc>
          <w:tcPr>
            <w:tcW w:w="2972" w:type="dxa"/>
          </w:tcPr>
          <w:p w14:paraId="4269EBDA"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b/>
                <w:sz w:val="20"/>
                <w:szCs w:val="20"/>
              </w:rPr>
            </w:pPr>
            <w:r w:rsidRPr="006708F9">
              <w:rPr>
                <w:rFonts w:ascii="Times New Roman" w:eastAsia="Times New Roman" w:hAnsi="Times New Roman" w:cs="Times New Roman"/>
                <w:b/>
                <w:sz w:val="20"/>
                <w:szCs w:val="20"/>
              </w:rPr>
              <w:t>Osteoporoz</w:t>
            </w:r>
          </w:p>
        </w:tc>
        <w:tc>
          <w:tcPr>
            <w:tcW w:w="1843" w:type="dxa"/>
          </w:tcPr>
          <w:p w14:paraId="7489F377"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p>
        </w:tc>
        <w:tc>
          <w:tcPr>
            <w:tcW w:w="2410" w:type="dxa"/>
          </w:tcPr>
          <w:p w14:paraId="6B4E244C"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p>
        </w:tc>
      </w:tr>
      <w:tr w:rsidR="00AD6B08" w:rsidRPr="006708F9" w14:paraId="493D8D38" w14:textId="77777777" w:rsidTr="006C2E9C">
        <w:trPr>
          <w:jc w:val="center"/>
        </w:trPr>
        <w:tc>
          <w:tcPr>
            <w:tcW w:w="2972" w:type="dxa"/>
          </w:tcPr>
          <w:p w14:paraId="5DD9419F"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r w:rsidRPr="006708F9">
              <w:rPr>
                <w:rFonts w:ascii="Times New Roman" w:eastAsia="Times New Roman" w:hAnsi="Times New Roman" w:cs="Times New Roman"/>
                <w:sz w:val="20"/>
                <w:szCs w:val="20"/>
              </w:rPr>
              <w:t>Var</w:t>
            </w:r>
          </w:p>
        </w:tc>
        <w:tc>
          <w:tcPr>
            <w:tcW w:w="1843" w:type="dxa"/>
          </w:tcPr>
          <w:p w14:paraId="72B746ED"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r w:rsidRPr="006708F9">
              <w:rPr>
                <w:rFonts w:ascii="Times New Roman" w:eastAsia="Times New Roman" w:hAnsi="Times New Roman" w:cs="Times New Roman"/>
                <w:sz w:val="20"/>
                <w:szCs w:val="20"/>
              </w:rPr>
              <w:t>33</w:t>
            </w:r>
          </w:p>
        </w:tc>
        <w:tc>
          <w:tcPr>
            <w:tcW w:w="2410" w:type="dxa"/>
          </w:tcPr>
          <w:p w14:paraId="7C28EDF3"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r w:rsidRPr="006708F9">
              <w:rPr>
                <w:rFonts w:ascii="Times New Roman" w:eastAsia="Times New Roman" w:hAnsi="Times New Roman" w:cs="Times New Roman"/>
                <w:sz w:val="20"/>
                <w:szCs w:val="20"/>
              </w:rPr>
              <w:t>22,0</w:t>
            </w:r>
          </w:p>
        </w:tc>
      </w:tr>
      <w:tr w:rsidR="00AD6B08" w:rsidRPr="006708F9" w14:paraId="414CD14A" w14:textId="77777777" w:rsidTr="006C2E9C">
        <w:trPr>
          <w:jc w:val="center"/>
        </w:trPr>
        <w:tc>
          <w:tcPr>
            <w:tcW w:w="2972" w:type="dxa"/>
          </w:tcPr>
          <w:p w14:paraId="595F869E"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r w:rsidRPr="006708F9">
              <w:rPr>
                <w:rFonts w:ascii="Times New Roman" w:eastAsia="Times New Roman" w:hAnsi="Times New Roman" w:cs="Times New Roman"/>
                <w:sz w:val="20"/>
                <w:szCs w:val="20"/>
              </w:rPr>
              <w:t>Yok</w:t>
            </w:r>
          </w:p>
        </w:tc>
        <w:tc>
          <w:tcPr>
            <w:tcW w:w="1843" w:type="dxa"/>
          </w:tcPr>
          <w:p w14:paraId="40BC3D1B"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r w:rsidRPr="006708F9">
              <w:rPr>
                <w:rFonts w:ascii="Times New Roman" w:eastAsia="Times New Roman" w:hAnsi="Times New Roman" w:cs="Times New Roman"/>
                <w:sz w:val="20"/>
                <w:szCs w:val="20"/>
              </w:rPr>
              <w:t>117</w:t>
            </w:r>
          </w:p>
        </w:tc>
        <w:tc>
          <w:tcPr>
            <w:tcW w:w="2410" w:type="dxa"/>
          </w:tcPr>
          <w:p w14:paraId="10810942"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r w:rsidRPr="006708F9">
              <w:rPr>
                <w:rFonts w:ascii="Times New Roman" w:eastAsia="Times New Roman" w:hAnsi="Times New Roman" w:cs="Times New Roman"/>
                <w:sz w:val="20"/>
                <w:szCs w:val="20"/>
              </w:rPr>
              <w:t>78,0</w:t>
            </w:r>
          </w:p>
        </w:tc>
      </w:tr>
      <w:tr w:rsidR="00AD6B08" w:rsidRPr="006708F9" w14:paraId="29A99B6C" w14:textId="77777777" w:rsidTr="006C2E9C">
        <w:trPr>
          <w:jc w:val="center"/>
        </w:trPr>
        <w:tc>
          <w:tcPr>
            <w:tcW w:w="2972" w:type="dxa"/>
          </w:tcPr>
          <w:p w14:paraId="3B05D315" w14:textId="662255D2" w:rsidR="00A20407" w:rsidRPr="006708F9" w:rsidRDefault="00A20407" w:rsidP="00B55AE6">
            <w:pPr>
              <w:spacing w:before="120" w:after="40" w:line="360" w:lineRule="auto"/>
              <w:ind w:left="284" w:firstLine="919"/>
              <w:jc w:val="both"/>
              <w:rPr>
                <w:rFonts w:ascii="Times New Roman" w:eastAsia="Times New Roman" w:hAnsi="Times New Roman" w:cs="Times New Roman"/>
                <w:b/>
                <w:sz w:val="20"/>
                <w:szCs w:val="20"/>
              </w:rPr>
            </w:pPr>
            <w:proofErr w:type="spellStart"/>
            <w:r w:rsidRPr="006708F9">
              <w:rPr>
                <w:rFonts w:ascii="Times New Roman" w:eastAsia="Times New Roman" w:hAnsi="Times New Roman" w:cs="Times New Roman"/>
                <w:b/>
                <w:sz w:val="20"/>
                <w:szCs w:val="20"/>
              </w:rPr>
              <w:t>Romatoid</w:t>
            </w:r>
            <w:proofErr w:type="spellEnd"/>
            <w:r w:rsidR="006708F9">
              <w:rPr>
                <w:rFonts w:ascii="Times New Roman" w:eastAsia="Times New Roman" w:hAnsi="Times New Roman" w:cs="Times New Roman"/>
                <w:b/>
                <w:sz w:val="20"/>
                <w:szCs w:val="20"/>
              </w:rPr>
              <w:t xml:space="preserve"> </w:t>
            </w:r>
            <w:proofErr w:type="spellStart"/>
            <w:r w:rsidRPr="006708F9">
              <w:rPr>
                <w:rFonts w:ascii="Times New Roman" w:eastAsia="Times New Roman" w:hAnsi="Times New Roman" w:cs="Times New Roman"/>
                <w:b/>
                <w:sz w:val="20"/>
                <w:szCs w:val="20"/>
              </w:rPr>
              <w:t>artrit</w:t>
            </w:r>
            <w:proofErr w:type="spellEnd"/>
          </w:p>
        </w:tc>
        <w:tc>
          <w:tcPr>
            <w:tcW w:w="1843" w:type="dxa"/>
          </w:tcPr>
          <w:p w14:paraId="697FA63E"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p>
        </w:tc>
        <w:tc>
          <w:tcPr>
            <w:tcW w:w="2410" w:type="dxa"/>
          </w:tcPr>
          <w:p w14:paraId="61197BA7"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p>
        </w:tc>
      </w:tr>
      <w:tr w:rsidR="00AD6B08" w:rsidRPr="006708F9" w14:paraId="5BA58980" w14:textId="77777777" w:rsidTr="00AD40BF">
        <w:trPr>
          <w:jc w:val="center"/>
        </w:trPr>
        <w:tc>
          <w:tcPr>
            <w:tcW w:w="2972" w:type="dxa"/>
          </w:tcPr>
          <w:p w14:paraId="6ABC4B55"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r w:rsidRPr="006708F9">
              <w:rPr>
                <w:rFonts w:ascii="Times New Roman" w:eastAsia="Times New Roman" w:hAnsi="Times New Roman" w:cs="Times New Roman"/>
                <w:sz w:val="20"/>
                <w:szCs w:val="20"/>
              </w:rPr>
              <w:t>Var</w:t>
            </w:r>
          </w:p>
        </w:tc>
        <w:tc>
          <w:tcPr>
            <w:tcW w:w="1843" w:type="dxa"/>
          </w:tcPr>
          <w:p w14:paraId="54A2F88F"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r w:rsidRPr="006708F9">
              <w:rPr>
                <w:rFonts w:ascii="Times New Roman" w:eastAsia="Times New Roman" w:hAnsi="Times New Roman" w:cs="Times New Roman"/>
                <w:sz w:val="20"/>
                <w:szCs w:val="20"/>
              </w:rPr>
              <w:t>8</w:t>
            </w:r>
          </w:p>
        </w:tc>
        <w:tc>
          <w:tcPr>
            <w:tcW w:w="2410" w:type="dxa"/>
          </w:tcPr>
          <w:p w14:paraId="0B266962"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r w:rsidRPr="006708F9">
              <w:rPr>
                <w:rFonts w:ascii="Times New Roman" w:eastAsia="Times New Roman" w:hAnsi="Times New Roman" w:cs="Times New Roman"/>
                <w:sz w:val="20"/>
                <w:szCs w:val="20"/>
              </w:rPr>
              <w:t>5,3</w:t>
            </w:r>
          </w:p>
        </w:tc>
      </w:tr>
      <w:tr w:rsidR="00AD6B08" w:rsidRPr="006708F9" w14:paraId="76A86F09" w14:textId="77777777" w:rsidTr="00AD40BF">
        <w:trPr>
          <w:trHeight w:val="68"/>
          <w:jc w:val="center"/>
        </w:trPr>
        <w:tc>
          <w:tcPr>
            <w:tcW w:w="2972" w:type="dxa"/>
            <w:tcBorders>
              <w:bottom w:val="single" w:sz="4" w:space="0" w:color="auto"/>
            </w:tcBorders>
          </w:tcPr>
          <w:p w14:paraId="7898D67A"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r w:rsidRPr="006708F9">
              <w:rPr>
                <w:rFonts w:ascii="Times New Roman" w:eastAsia="Times New Roman" w:hAnsi="Times New Roman" w:cs="Times New Roman"/>
                <w:sz w:val="20"/>
                <w:szCs w:val="20"/>
              </w:rPr>
              <w:t>Yok</w:t>
            </w:r>
          </w:p>
        </w:tc>
        <w:tc>
          <w:tcPr>
            <w:tcW w:w="1843" w:type="dxa"/>
            <w:tcBorders>
              <w:bottom w:val="single" w:sz="4" w:space="0" w:color="auto"/>
            </w:tcBorders>
          </w:tcPr>
          <w:p w14:paraId="1A690481"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r w:rsidRPr="006708F9">
              <w:rPr>
                <w:rFonts w:ascii="Times New Roman" w:eastAsia="Times New Roman" w:hAnsi="Times New Roman" w:cs="Times New Roman"/>
                <w:sz w:val="20"/>
                <w:szCs w:val="20"/>
              </w:rPr>
              <w:t>142</w:t>
            </w:r>
          </w:p>
        </w:tc>
        <w:tc>
          <w:tcPr>
            <w:tcW w:w="2410" w:type="dxa"/>
            <w:tcBorders>
              <w:bottom w:val="single" w:sz="4" w:space="0" w:color="auto"/>
            </w:tcBorders>
          </w:tcPr>
          <w:p w14:paraId="49DE77D8" w14:textId="77777777" w:rsidR="00A20407" w:rsidRPr="006708F9" w:rsidRDefault="00A20407" w:rsidP="00B55AE6">
            <w:pPr>
              <w:spacing w:before="120" w:after="40" w:line="360" w:lineRule="auto"/>
              <w:ind w:left="284" w:firstLine="919"/>
              <w:jc w:val="both"/>
              <w:rPr>
                <w:rFonts w:ascii="Times New Roman" w:eastAsia="Times New Roman" w:hAnsi="Times New Roman" w:cs="Times New Roman"/>
                <w:sz w:val="20"/>
                <w:szCs w:val="20"/>
              </w:rPr>
            </w:pPr>
            <w:r w:rsidRPr="006708F9">
              <w:rPr>
                <w:rFonts w:ascii="Times New Roman" w:eastAsia="Times New Roman" w:hAnsi="Times New Roman" w:cs="Times New Roman"/>
                <w:sz w:val="20"/>
                <w:szCs w:val="20"/>
              </w:rPr>
              <w:t>94,7</w:t>
            </w:r>
          </w:p>
        </w:tc>
      </w:tr>
    </w:tbl>
    <w:p w14:paraId="36B896BE" w14:textId="77777777" w:rsidR="00A20407" w:rsidRPr="005D1551" w:rsidRDefault="00A20407" w:rsidP="00B55AE6">
      <w:pPr>
        <w:spacing w:before="120" w:after="0" w:line="360" w:lineRule="auto"/>
        <w:ind w:left="284" w:firstLine="919"/>
        <w:jc w:val="both"/>
        <w:rPr>
          <w:rFonts w:ascii="Times New Roman" w:hAnsi="Times New Roman" w:cs="Times New Roman"/>
          <w:sz w:val="24"/>
          <w:szCs w:val="24"/>
        </w:rPr>
      </w:pPr>
    </w:p>
    <w:p w14:paraId="6048CA1A" w14:textId="77777777" w:rsidR="006C2E9C" w:rsidRPr="005D1551" w:rsidRDefault="00A20407" w:rsidP="006C2E9C">
      <w:pPr>
        <w:autoSpaceDE w:val="0"/>
        <w:autoSpaceDN w:val="0"/>
        <w:adjustRightInd w:val="0"/>
        <w:spacing w:before="120" w:after="360" w:line="360" w:lineRule="auto"/>
        <w:ind w:left="284" w:firstLine="919"/>
        <w:contextualSpacing/>
        <w:jc w:val="both"/>
        <w:rPr>
          <w:rFonts w:ascii="Times New Roman" w:hAnsi="Times New Roman" w:cs="Times New Roman"/>
          <w:sz w:val="24"/>
          <w:szCs w:val="24"/>
        </w:rPr>
      </w:pPr>
      <w:r w:rsidRPr="005D1551">
        <w:rPr>
          <w:rFonts w:ascii="Times New Roman" w:hAnsi="Times New Roman" w:cs="Times New Roman"/>
          <w:sz w:val="24"/>
          <w:szCs w:val="24"/>
        </w:rPr>
        <w:t>Çalışmamızda bireysel görüşme formundaki sorulardan biri olan “</w:t>
      </w:r>
      <w:r w:rsidRPr="005D1551">
        <w:rPr>
          <w:rFonts w:ascii="Times New Roman" w:eastAsia="TimesNewRomanPSMT" w:hAnsi="Times New Roman" w:cs="Times New Roman"/>
          <w:bCs/>
          <w:sz w:val="24"/>
          <w:szCs w:val="24"/>
        </w:rPr>
        <w:t xml:space="preserve">Okumanızı engelleyecek düzeyde görme sorununuz var mı?” sorusuna </w:t>
      </w:r>
      <w:r w:rsidRPr="005D1551">
        <w:rPr>
          <w:rFonts w:ascii="Times New Roman" w:hAnsi="Times New Roman" w:cs="Times New Roman"/>
          <w:sz w:val="24"/>
          <w:szCs w:val="24"/>
        </w:rPr>
        <w:t xml:space="preserve">121 kişi (%80,7) hayır cevabını verdi. Evet cevabını veren kişi sayısı ise 29 (%19,3) idi. Formda yer alan diğer bir soru ise </w:t>
      </w:r>
      <w:r w:rsidRPr="005D1551">
        <w:rPr>
          <w:rFonts w:ascii="Times New Roman" w:hAnsi="Times New Roman" w:cs="Times New Roman"/>
          <w:sz w:val="24"/>
          <w:szCs w:val="24"/>
        </w:rPr>
        <w:lastRenderedPageBreak/>
        <w:t>“</w:t>
      </w:r>
      <w:r w:rsidRPr="005D1551">
        <w:rPr>
          <w:rFonts w:ascii="Times New Roman" w:eastAsia="TimesNewRomanPSMT" w:hAnsi="Times New Roman" w:cs="Times New Roman"/>
          <w:bCs/>
          <w:sz w:val="24"/>
          <w:szCs w:val="24"/>
        </w:rPr>
        <w:t>Size söylenenleri duymanızı engelleyecek işitme sorununuz var mı?’’ sorusu idi. Bu soruya hayır cevabını verenlerin sayısı 126 kişi (%84) idi. Evet cevabı veren kişi sayısı ise 24 (%16) idi</w:t>
      </w:r>
      <w:r w:rsidRPr="005D1551">
        <w:rPr>
          <w:rFonts w:ascii="Times New Roman" w:hAnsi="Times New Roman" w:cs="Times New Roman"/>
          <w:sz w:val="24"/>
          <w:szCs w:val="24"/>
        </w:rPr>
        <w:t>.</w:t>
      </w:r>
    </w:p>
    <w:p w14:paraId="43AF3875" w14:textId="637E3823" w:rsidR="00A20407" w:rsidRPr="005D1551" w:rsidRDefault="00A20407" w:rsidP="006C2E9C">
      <w:pPr>
        <w:autoSpaceDE w:val="0"/>
        <w:autoSpaceDN w:val="0"/>
        <w:adjustRightInd w:val="0"/>
        <w:spacing w:before="120" w:after="360" w:line="360" w:lineRule="auto"/>
        <w:ind w:left="284" w:firstLine="919"/>
        <w:contextualSpacing/>
        <w:jc w:val="both"/>
        <w:rPr>
          <w:rFonts w:ascii="Times New Roman" w:hAnsi="Times New Roman" w:cs="Times New Roman"/>
          <w:sz w:val="24"/>
          <w:szCs w:val="24"/>
        </w:rPr>
      </w:pPr>
      <w:r w:rsidRPr="005D1551">
        <w:rPr>
          <w:rFonts w:ascii="Times New Roman" w:hAnsi="Times New Roman" w:cs="Times New Roman"/>
          <w:sz w:val="24"/>
          <w:szCs w:val="24"/>
        </w:rPr>
        <w:t>Bireysel görüşme formunda katılımcılara sorulan “Son 1 yıl içerisinde kronik hastalığınızdan dolayı hastaneye başvurdunuz mu?” soruya evet cevabını verenlerin oranı %83,3 (n=125) idi. Bu soruya hayır cevabı verenlerin oranı ise %16,7 (n=25) idi. Formda yer alan diğer bir soru olan “Son 1 yıl içerisinde kronik hastalığınızdan dolayı herhangi bir hastanenin acil servisine başvurdunuz mu?” sorusuna evet cevabı verenlerin sayısı 77 (%51,3) iken, hayır cevabını verenlerin sayısı 73 (%48,7) idi. “Son 1 yıl içerisinde Hastaneye başvurduğunuzda serviste yatış yaptınız mı</w:t>
      </w:r>
      <w:r w:rsidR="00F61948" w:rsidRPr="005D1551">
        <w:rPr>
          <w:rFonts w:ascii="Times New Roman" w:hAnsi="Times New Roman" w:cs="Times New Roman"/>
          <w:sz w:val="24"/>
          <w:szCs w:val="24"/>
        </w:rPr>
        <w:t>?</w:t>
      </w:r>
      <w:r w:rsidRPr="005D1551">
        <w:rPr>
          <w:rFonts w:ascii="Times New Roman" w:hAnsi="Times New Roman" w:cs="Times New Roman"/>
          <w:sz w:val="24"/>
          <w:szCs w:val="24"/>
        </w:rPr>
        <w:t>” sorusuna evet cevabını verenlerin sayısı ise 27 (%18), hayır cevabını verenlerin sayısı 123 (%82) idi.</w:t>
      </w:r>
    </w:p>
    <w:p w14:paraId="3415B10E" w14:textId="55570844" w:rsidR="00A20407" w:rsidRPr="005D1551" w:rsidRDefault="00A20407" w:rsidP="00B55AE6">
      <w:pPr>
        <w:spacing w:before="120" w:after="360" w:line="360" w:lineRule="auto"/>
        <w:ind w:left="284" w:firstLine="919"/>
        <w:contextualSpacing/>
        <w:jc w:val="both"/>
        <w:rPr>
          <w:rFonts w:ascii="Times New Roman" w:eastAsia="Calibri" w:hAnsi="Times New Roman" w:cs="Times New Roman"/>
          <w:noProof/>
          <w:sz w:val="24"/>
          <w:szCs w:val="24"/>
        </w:rPr>
      </w:pPr>
      <w:r w:rsidRPr="005D1551">
        <w:rPr>
          <w:rFonts w:ascii="Times New Roman" w:hAnsi="Times New Roman" w:cs="Times New Roman"/>
          <w:sz w:val="24"/>
          <w:szCs w:val="24"/>
        </w:rPr>
        <w:t>Katılımcıların kronik hastalıklarından dolayı hastaneye başvurduklarında serviste yatış yaptıkları gün sayısı ortalama 1,13</w:t>
      </w:r>
      <w:r w:rsidRPr="005D1551">
        <w:rPr>
          <w:rFonts w:ascii="Times New Roman" w:eastAsia="Calibri" w:hAnsi="Times New Roman" w:cs="Times New Roman"/>
          <w:noProof/>
          <w:sz w:val="24"/>
          <w:szCs w:val="24"/>
        </w:rPr>
        <w:t xml:space="preserve">±2,44 olarak tespit edildi. En uzun yatış süresinin 10 gün olduğu tespit edildi. Diğer taraftan acil başvuru sayılarının ortalama değeri ise 0,76±0,87 idi </w:t>
      </w:r>
      <w:r w:rsidR="00C55F46" w:rsidRPr="005D1551">
        <w:rPr>
          <w:rFonts w:ascii="Times New Roman" w:eastAsia="Calibri" w:hAnsi="Times New Roman" w:cs="Times New Roman"/>
          <w:noProof/>
          <w:sz w:val="24"/>
          <w:szCs w:val="24"/>
        </w:rPr>
        <w:t>.</w:t>
      </w:r>
    </w:p>
    <w:p w14:paraId="203CDBC3" w14:textId="3840F374" w:rsidR="00A20407" w:rsidRPr="005D1551" w:rsidRDefault="00A20407" w:rsidP="00B55AE6">
      <w:pPr>
        <w:pStyle w:val="Balk2"/>
        <w:spacing w:before="120" w:line="360" w:lineRule="auto"/>
        <w:ind w:left="284" w:firstLine="919"/>
        <w:contextualSpacing/>
        <w:jc w:val="both"/>
        <w:rPr>
          <w:rFonts w:ascii="Times New Roman" w:hAnsi="Times New Roman" w:cs="Times New Roman"/>
          <w:b/>
          <w:i/>
          <w:color w:val="auto"/>
          <w:sz w:val="24"/>
          <w:szCs w:val="24"/>
        </w:rPr>
      </w:pPr>
      <w:bookmarkStart w:id="7" w:name="_Toc12471086"/>
      <w:r w:rsidRPr="005D1551">
        <w:rPr>
          <w:rFonts w:ascii="Times New Roman" w:hAnsi="Times New Roman" w:cs="Times New Roman"/>
          <w:b/>
          <w:color w:val="auto"/>
          <w:sz w:val="24"/>
          <w:szCs w:val="24"/>
        </w:rPr>
        <w:t>Katılımcıların ASOY Sonuçlarının Bazı Bağımsız Değişkenler ile İlişkisi</w:t>
      </w:r>
      <w:bookmarkEnd w:id="7"/>
    </w:p>
    <w:p w14:paraId="59C78594" w14:textId="3FFD23AE" w:rsidR="00A20407" w:rsidRPr="005D1551" w:rsidRDefault="00A20407" w:rsidP="00B55AE6">
      <w:pPr>
        <w:spacing w:before="120" w:after="360" w:line="360" w:lineRule="auto"/>
        <w:ind w:left="284" w:firstLine="919"/>
        <w:contextualSpacing/>
        <w:jc w:val="both"/>
        <w:rPr>
          <w:rFonts w:ascii="Times New Roman" w:hAnsi="Times New Roman" w:cs="Times New Roman"/>
          <w:b/>
          <w:sz w:val="24"/>
          <w:szCs w:val="24"/>
        </w:rPr>
      </w:pPr>
      <w:r w:rsidRPr="005D1551">
        <w:rPr>
          <w:rFonts w:ascii="Times New Roman" w:eastAsia="Times New Roman" w:hAnsi="Times New Roman" w:cs="Times New Roman"/>
          <w:sz w:val="24"/>
          <w:szCs w:val="24"/>
        </w:rPr>
        <w:t xml:space="preserve">Katılımcıların ortalama ASOY puanı 28,7±7,09 olarak belirlendi. En az alınan puan 10,6, en fazla alınan puan ise 45,3 idi. </w:t>
      </w:r>
      <w:r w:rsidRPr="005D1551">
        <w:rPr>
          <w:rFonts w:ascii="Times New Roman" w:hAnsi="Times New Roman" w:cs="Times New Roman"/>
          <w:sz w:val="24"/>
          <w:szCs w:val="24"/>
        </w:rPr>
        <w:t xml:space="preserve">Araştırmaya katılan kişilerin yaş sınıflaması ile ortalama ASOY puanı karşılaştırılması Tablo </w:t>
      </w:r>
      <w:r w:rsidR="006C2E9C" w:rsidRPr="005D1551">
        <w:rPr>
          <w:rFonts w:ascii="Times New Roman" w:hAnsi="Times New Roman" w:cs="Times New Roman"/>
          <w:sz w:val="24"/>
          <w:szCs w:val="24"/>
        </w:rPr>
        <w:t>3</w:t>
      </w:r>
      <w:r w:rsidRPr="005D1551">
        <w:rPr>
          <w:rFonts w:ascii="Times New Roman" w:hAnsi="Times New Roman" w:cs="Times New Roman"/>
          <w:sz w:val="24"/>
          <w:szCs w:val="24"/>
        </w:rPr>
        <w:t>’de görülmektedir. 65 yaş altı kişilerin ortalama ASOY puanı 29,9</w:t>
      </w:r>
      <w:r w:rsidRPr="005D1551">
        <w:rPr>
          <w:rFonts w:ascii="Times New Roman" w:eastAsia="Times New Roman" w:hAnsi="Times New Roman" w:cs="Times New Roman"/>
          <w:sz w:val="24"/>
          <w:szCs w:val="24"/>
        </w:rPr>
        <w:t xml:space="preserve">±6,4, </w:t>
      </w:r>
      <w:r w:rsidRPr="005D1551">
        <w:rPr>
          <w:rFonts w:ascii="Times New Roman" w:hAnsi="Times New Roman" w:cs="Times New Roman"/>
          <w:sz w:val="24"/>
          <w:szCs w:val="24"/>
        </w:rPr>
        <w:t>65 yaş üstü kişilerin ortalama ASOY puanı 25,3</w:t>
      </w:r>
      <w:r w:rsidRPr="005D1551">
        <w:rPr>
          <w:rFonts w:ascii="Times New Roman" w:eastAsia="Times New Roman" w:hAnsi="Times New Roman" w:cs="Times New Roman"/>
          <w:sz w:val="24"/>
          <w:szCs w:val="24"/>
        </w:rPr>
        <w:t xml:space="preserve">±7,7 idi. </w:t>
      </w:r>
      <w:r w:rsidRPr="005D1551">
        <w:rPr>
          <w:rFonts w:ascii="Times New Roman" w:hAnsi="Times New Roman" w:cs="Times New Roman"/>
          <w:sz w:val="24"/>
          <w:szCs w:val="24"/>
        </w:rPr>
        <w:t>Yaş sınıflamasına göre yapılan analizlerde ortalama ASOY puanının 65 yaş üstünde anlamlı derecede düştüğü görüldü (p&lt;0,001)</w:t>
      </w:r>
      <w:r w:rsidR="006C2E9C" w:rsidRPr="005D1551">
        <w:rPr>
          <w:rFonts w:ascii="Times New Roman" w:hAnsi="Times New Roman" w:cs="Times New Roman"/>
          <w:sz w:val="24"/>
          <w:szCs w:val="24"/>
        </w:rPr>
        <w:t>.</w:t>
      </w:r>
    </w:p>
    <w:p w14:paraId="565C7261" w14:textId="738C0B72" w:rsidR="00A20407" w:rsidRPr="005D1551" w:rsidRDefault="00A20407" w:rsidP="00B55AE6">
      <w:pPr>
        <w:pStyle w:val="Balk7"/>
        <w:spacing w:before="120" w:line="360" w:lineRule="auto"/>
        <w:ind w:left="284" w:firstLine="919"/>
        <w:jc w:val="both"/>
        <w:rPr>
          <w:rFonts w:ascii="Times New Roman" w:hAnsi="Times New Roman" w:cs="Times New Roman"/>
          <w:i w:val="0"/>
          <w:color w:val="auto"/>
          <w:sz w:val="24"/>
          <w:szCs w:val="24"/>
        </w:rPr>
      </w:pPr>
      <w:bookmarkStart w:id="8" w:name="_Toc12471984"/>
      <w:r w:rsidRPr="005D1551">
        <w:rPr>
          <w:rFonts w:ascii="Times New Roman" w:hAnsi="Times New Roman" w:cs="Times New Roman"/>
          <w:b/>
          <w:i w:val="0"/>
          <w:color w:val="auto"/>
          <w:sz w:val="24"/>
          <w:szCs w:val="24"/>
        </w:rPr>
        <w:t xml:space="preserve">Tablo </w:t>
      </w:r>
      <w:r w:rsidR="00C55F46" w:rsidRPr="005D1551">
        <w:rPr>
          <w:rFonts w:ascii="Times New Roman" w:hAnsi="Times New Roman" w:cs="Times New Roman"/>
          <w:b/>
          <w:i w:val="0"/>
          <w:color w:val="auto"/>
          <w:sz w:val="24"/>
          <w:szCs w:val="24"/>
        </w:rPr>
        <w:t>3</w:t>
      </w:r>
      <w:r w:rsidRPr="005D1551">
        <w:rPr>
          <w:rFonts w:ascii="Times New Roman" w:hAnsi="Times New Roman" w:cs="Times New Roman"/>
          <w:b/>
          <w:i w:val="0"/>
          <w:color w:val="auto"/>
          <w:sz w:val="24"/>
          <w:szCs w:val="24"/>
        </w:rPr>
        <w:t>. Katılımcıların yaş sınıflaması ile ortalama ASOY puanlarının karşılaştırılması</w:t>
      </w:r>
      <w:bookmarkEnd w:id="8"/>
    </w:p>
    <w:tbl>
      <w:tblPr>
        <w:tblW w:w="0" w:type="auto"/>
        <w:jc w:val="center"/>
        <w:tblBorders>
          <w:top w:val="single" w:sz="4" w:space="0" w:color="auto"/>
          <w:bottom w:val="single" w:sz="4" w:space="0" w:color="auto"/>
        </w:tblBorders>
        <w:tblLook w:val="04A0" w:firstRow="1" w:lastRow="0" w:firstColumn="1" w:lastColumn="0" w:noHBand="0" w:noVBand="1"/>
      </w:tblPr>
      <w:tblGrid>
        <w:gridCol w:w="60"/>
        <w:gridCol w:w="3827"/>
        <w:gridCol w:w="3887"/>
      </w:tblGrid>
      <w:tr w:rsidR="00AD6B08" w:rsidRPr="006708F9" w14:paraId="6580D461" w14:textId="77777777" w:rsidTr="006C2E9C">
        <w:trPr>
          <w:jc w:val="center"/>
        </w:trPr>
        <w:tc>
          <w:tcPr>
            <w:tcW w:w="3887" w:type="dxa"/>
            <w:gridSpan w:val="2"/>
            <w:tcBorders>
              <w:top w:val="nil"/>
              <w:bottom w:val="single" w:sz="4" w:space="0" w:color="auto"/>
            </w:tcBorders>
          </w:tcPr>
          <w:p w14:paraId="339CD77E" w14:textId="77777777" w:rsidR="00A20407" w:rsidRPr="006708F9" w:rsidRDefault="00A20407" w:rsidP="00B55AE6">
            <w:pPr>
              <w:pStyle w:val="NormalWeb"/>
              <w:spacing w:before="120" w:beforeAutospacing="0" w:after="40" w:afterAutospacing="0" w:line="360" w:lineRule="auto"/>
              <w:ind w:left="284" w:firstLine="919"/>
              <w:jc w:val="both"/>
              <w:rPr>
                <w:b/>
                <w:sz w:val="20"/>
                <w:szCs w:val="20"/>
              </w:rPr>
            </w:pPr>
            <w:r w:rsidRPr="006708F9">
              <w:rPr>
                <w:b/>
                <w:sz w:val="20"/>
                <w:szCs w:val="20"/>
              </w:rPr>
              <w:t>Yaş Sınıflaması</w:t>
            </w:r>
          </w:p>
        </w:tc>
        <w:tc>
          <w:tcPr>
            <w:tcW w:w="3887" w:type="dxa"/>
            <w:tcBorders>
              <w:top w:val="nil"/>
              <w:bottom w:val="single" w:sz="4" w:space="0" w:color="auto"/>
            </w:tcBorders>
          </w:tcPr>
          <w:p w14:paraId="2303D7F7" w14:textId="0313EA4A" w:rsidR="00A20407" w:rsidRPr="006708F9" w:rsidRDefault="006C2E9C" w:rsidP="006C2E9C">
            <w:pPr>
              <w:spacing w:before="120" w:after="40" w:line="360" w:lineRule="auto"/>
              <w:jc w:val="both"/>
              <w:rPr>
                <w:rFonts w:ascii="Times New Roman" w:hAnsi="Times New Roman" w:cs="Times New Roman"/>
                <w:b/>
                <w:sz w:val="20"/>
                <w:szCs w:val="20"/>
              </w:rPr>
            </w:pPr>
            <w:r w:rsidRPr="006708F9">
              <w:rPr>
                <w:rFonts w:ascii="Times New Roman" w:hAnsi="Times New Roman" w:cs="Times New Roman"/>
                <w:b/>
                <w:sz w:val="20"/>
                <w:szCs w:val="20"/>
              </w:rPr>
              <w:t xml:space="preserve"> </w:t>
            </w:r>
            <w:r w:rsidR="00A20407" w:rsidRPr="006708F9">
              <w:rPr>
                <w:rFonts w:ascii="Times New Roman" w:hAnsi="Times New Roman" w:cs="Times New Roman"/>
                <w:b/>
                <w:sz w:val="20"/>
                <w:szCs w:val="20"/>
              </w:rPr>
              <w:t>Ortalama</w:t>
            </w:r>
            <w:r w:rsidRPr="006708F9">
              <w:rPr>
                <w:rFonts w:ascii="Times New Roman" w:hAnsi="Times New Roman" w:cs="Times New Roman"/>
                <w:b/>
                <w:sz w:val="20"/>
                <w:szCs w:val="20"/>
              </w:rPr>
              <w:t xml:space="preserve"> </w:t>
            </w:r>
            <w:r w:rsidR="00A20407" w:rsidRPr="006708F9">
              <w:rPr>
                <w:rFonts w:ascii="Times New Roman" w:hAnsi="Times New Roman" w:cs="Times New Roman"/>
                <w:b/>
                <w:sz w:val="20"/>
                <w:szCs w:val="20"/>
              </w:rPr>
              <w:t>ASOY</w:t>
            </w:r>
            <w:r w:rsidRPr="006708F9">
              <w:rPr>
                <w:rFonts w:ascii="Times New Roman" w:hAnsi="Times New Roman" w:cs="Times New Roman"/>
                <w:b/>
                <w:sz w:val="20"/>
                <w:szCs w:val="20"/>
              </w:rPr>
              <w:t xml:space="preserve"> </w:t>
            </w:r>
            <w:r w:rsidR="00A20407" w:rsidRPr="006708F9">
              <w:rPr>
                <w:rFonts w:ascii="Times New Roman" w:hAnsi="Times New Roman" w:cs="Times New Roman"/>
                <w:b/>
                <w:sz w:val="20"/>
                <w:szCs w:val="20"/>
              </w:rPr>
              <w:t>puanı</w:t>
            </w:r>
            <w:r w:rsidRPr="006708F9">
              <w:rPr>
                <w:rFonts w:ascii="Times New Roman" w:hAnsi="Times New Roman" w:cs="Times New Roman"/>
                <w:b/>
                <w:sz w:val="20"/>
                <w:szCs w:val="20"/>
              </w:rPr>
              <w:t xml:space="preserve"> </w:t>
            </w:r>
            <w:r w:rsidR="00A20407" w:rsidRPr="006708F9">
              <w:rPr>
                <w:rFonts w:ascii="Times New Roman" w:eastAsia="Times New Roman" w:hAnsi="Times New Roman" w:cs="Times New Roman"/>
                <w:b/>
                <w:sz w:val="20"/>
                <w:szCs w:val="20"/>
              </w:rPr>
              <w:t>±</w:t>
            </w:r>
            <w:r w:rsidRPr="006708F9">
              <w:rPr>
                <w:rFonts w:ascii="Times New Roman" w:eastAsia="Times New Roman" w:hAnsi="Times New Roman" w:cs="Times New Roman"/>
                <w:b/>
                <w:sz w:val="20"/>
                <w:szCs w:val="20"/>
              </w:rPr>
              <w:t xml:space="preserve"> </w:t>
            </w:r>
            <w:r w:rsidR="00A20407" w:rsidRPr="006708F9">
              <w:rPr>
                <w:rFonts w:ascii="Times New Roman" w:hAnsi="Times New Roman" w:cs="Times New Roman"/>
                <w:b/>
                <w:sz w:val="20"/>
                <w:szCs w:val="20"/>
              </w:rPr>
              <w:t>SS</w:t>
            </w:r>
          </w:p>
        </w:tc>
      </w:tr>
      <w:tr w:rsidR="00AD6B08" w:rsidRPr="006708F9" w14:paraId="133ED485" w14:textId="77777777" w:rsidTr="00AD40BF">
        <w:trPr>
          <w:gridBefore w:val="1"/>
          <w:wBefore w:w="60" w:type="dxa"/>
          <w:jc w:val="center"/>
        </w:trPr>
        <w:tc>
          <w:tcPr>
            <w:tcW w:w="3827" w:type="dxa"/>
            <w:tcBorders>
              <w:top w:val="single" w:sz="4" w:space="0" w:color="auto"/>
              <w:bottom w:val="nil"/>
            </w:tcBorders>
          </w:tcPr>
          <w:p w14:paraId="1A60692E" w14:textId="77777777" w:rsidR="00A20407" w:rsidRPr="006708F9" w:rsidRDefault="00A20407" w:rsidP="00B55AE6">
            <w:pPr>
              <w:pStyle w:val="NormalWeb"/>
              <w:spacing w:before="120" w:beforeAutospacing="0" w:after="40" w:afterAutospacing="0" w:line="360" w:lineRule="auto"/>
              <w:ind w:left="284" w:firstLine="919"/>
              <w:jc w:val="both"/>
              <w:rPr>
                <w:sz w:val="20"/>
                <w:szCs w:val="20"/>
              </w:rPr>
            </w:pPr>
            <w:r w:rsidRPr="006708F9">
              <w:rPr>
                <w:sz w:val="20"/>
                <w:szCs w:val="20"/>
              </w:rPr>
              <w:t>65 yaş altı</w:t>
            </w:r>
          </w:p>
        </w:tc>
        <w:tc>
          <w:tcPr>
            <w:tcW w:w="3887" w:type="dxa"/>
            <w:tcBorders>
              <w:top w:val="single" w:sz="4" w:space="0" w:color="auto"/>
              <w:bottom w:val="nil"/>
            </w:tcBorders>
          </w:tcPr>
          <w:p w14:paraId="7FAFB850" w14:textId="77777777" w:rsidR="00A20407" w:rsidRPr="006708F9" w:rsidRDefault="00A20407" w:rsidP="00B55AE6">
            <w:pPr>
              <w:pStyle w:val="NormalWeb"/>
              <w:spacing w:before="120" w:beforeAutospacing="0" w:after="40" w:afterAutospacing="0" w:line="360" w:lineRule="auto"/>
              <w:ind w:left="284" w:firstLine="919"/>
              <w:jc w:val="both"/>
              <w:rPr>
                <w:sz w:val="20"/>
                <w:szCs w:val="20"/>
              </w:rPr>
            </w:pPr>
            <w:r w:rsidRPr="006708F9">
              <w:rPr>
                <w:sz w:val="20"/>
                <w:szCs w:val="20"/>
              </w:rPr>
              <w:t>29,9±6,4</w:t>
            </w:r>
          </w:p>
        </w:tc>
      </w:tr>
      <w:tr w:rsidR="00AD6B08" w:rsidRPr="006708F9" w14:paraId="115BCDCB" w14:textId="77777777" w:rsidTr="00AD40BF">
        <w:trPr>
          <w:gridBefore w:val="1"/>
          <w:wBefore w:w="60" w:type="dxa"/>
          <w:jc w:val="center"/>
        </w:trPr>
        <w:tc>
          <w:tcPr>
            <w:tcW w:w="3827" w:type="dxa"/>
            <w:tcBorders>
              <w:top w:val="nil"/>
              <w:bottom w:val="single" w:sz="4" w:space="0" w:color="auto"/>
            </w:tcBorders>
          </w:tcPr>
          <w:p w14:paraId="6C6BA4BE" w14:textId="77777777" w:rsidR="00A20407" w:rsidRPr="006708F9" w:rsidRDefault="00A20407" w:rsidP="00B55AE6">
            <w:pPr>
              <w:pStyle w:val="NormalWeb"/>
              <w:spacing w:before="120" w:beforeAutospacing="0" w:after="40" w:afterAutospacing="0" w:line="360" w:lineRule="auto"/>
              <w:ind w:left="284" w:firstLine="919"/>
              <w:jc w:val="both"/>
              <w:rPr>
                <w:sz w:val="20"/>
                <w:szCs w:val="20"/>
              </w:rPr>
            </w:pPr>
            <w:r w:rsidRPr="006708F9">
              <w:rPr>
                <w:sz w:val="20"/>
                <w:szCs w:val="20"/>
              </w:rPr>
              <w:t>65 yaş üstü</w:t>
            </w:r>
          </w:p>
        </w:tc>
        <w:tc>
          <w:tcPr>
            <w:tcW w:w="3887" w:type="dxa"/>
            <w:tcBorders>
              <w:top w:val="nil"/>
              <w:bottom w:val="single" w:sz="4" w:space="0" w:color="auto"/>
            </w:tcBorders>
          </w:tcPr>
          <w:p w14:paraId="789BF03A" w14:textId="77777777" w:rsidR="00A20407" w:rsidRPr="006708F9" w:rsidRDefault="00A20407" w:rsidP="00B55AE6">
            <w:pPr>
              <w:pStyle w:val="NormalWeb"/>
              <w:spacing w:before="120" w:beforeAutospacing="0" w:after="40" w:afterAutospacing="0" w:line="360" w:lineRule="auto"/>
              <w:ind w:left="284" w:firstLine="919"/>
              <w:jc w:val="both"/>
              <w:rPr>
                <w:sz w:val="20"/>
                <w:szCs w:val="20"/>
              </w:rPr>
            </w:pPr>
            <w:r w:rsidRPr="006708F9">
              <w:rPr>
                <w:sz w:val="20"/>
                <w:szCs w:val="20"/>
              </w:rPr>
              <w:t>25,3±7,7</w:t>
            </w:r>
          </w:p>
        </w:tc>
      </w:tr>
    </w:tbl>
    <w:p w14:paraId="09F2ADCE" w14:textId="77777777" w:rsidR="00A20407" w:rsidRPr="005D1551" w:rsidRDefault="00A20407" w:rsidP="00B55AE6">
      <w:pPr>
        <w:spacing w:before="120" w:after="0" w:line="360" w:lineRule="auto"/>
        <w:ind w:left="284" w:firstLine="919"/>
        <w:jc w:val="both"/>
        <w:rPr>
          <w:rFonts w:ascii="Times New Roman" w:hAnsi="Times New Roman" w:cs="Times New Roman"/>
          <w:sz w:val="24"/>
          <w:szCs w:val="24"/>
        </w:rPr>
      </w:pPr>
      <w:r w:rsidRPr="005D1551">
        <w:rPr>
          <w:rFonts w:ascii="Times New Roman" w:hAnsi="Times New Roman" w:cs="Times New Roman"/>
          <w:sz w:val="24"/>
          <w:szCs w:val="24"/>
        </w:rPr>
        <w:t xml:space="preserve">     SS: Standart sapma, p&lt;0,001</w:t>
      </w:r>
    </w:p>
    <w:p w14:paraId="3E026F22" w14:textId="77777777" w:rsidR="00A20407" w:rsidRPr="005D1551" w:rsidRDefault="00A20407" w:rsidP="00B55AE6">
      <w:pPr>
        <w:spacing w:before="120" w:after="0" w:line="360" w:lineRule="auto"/>
        <w:ind w:left="284" w:firstLine="919"/>
        <w:jc w:val="both"/>
        <w:rPr>
          <w:rFonts w:ascii="Times New Roman" w:hAnsi="Times New Roman" w:cs="Times New Roman"/>
          <w:sz w:val="24"/>
          <w:szCs w:val="24"/>
        </w:rPr>
      </w:pPr>
    </w:p>
    <w:p w14:paraId="4B33CE81" w14:textId="400B085C" w:rsidR="00A20407" w:rsidRPr="005D1551" w:rsidRDefault="00A20407" w:rsidP="006708F9">
      <w:pPr>
        <w:spacing w:before="120" w:after="0" w:line="360" w:lineRule="auto"/>
        <w:ind w:left="284" w:firstLine="919"/>
        <w:contextualSpacing/>
        <w:jc w:val="both"/>
        <w:rPr>
          <w:rFonts w:ascii="Times New Roman" w:hAnsi="Times New Roman" w:cs="Times New Roman"/>
          <w:sz w:val="24"/>
          <w:szCs w:val="24"/>
        </w:rPr>
      </w:pPr>
      <w:r w:rsidRPr="005D1551">
        <w:rPr>
          <w:rFonts w:ascii="Times New Roman" w:eastAsia="Times New Roman" w:hAnsi="Times New Roman" w:cs="Times New Roman"/>
          <w:sz w:val="24"/>
          <w:szCs w:val="24"/>
        </w:rPr>
        <w:lastRenderedPageBreak/>
        <w:t xml:space="preserve">Katılımcıların cinsiyetleri ile ortalama ASOY puanı </w:t>
      </w:r>
      <w:r w:rsidR="00D06ED4" w:rsidRPr="005D1551">
        <w:rPr>
          <w:rFonts w:ascii="Times New Roman" w:eastAsia="Times New Roman" w:hAnsi="Times New Roman" w:cs="Times New Roman"/>
          <w:sz w:val="24"/>
          <w:szCs w:val="24"/>
        </w:rPr>
        <w:t>incelendiğinde k</w:t>
      </w:r>
      <w:r w:rsidRPr="005D1551">
        <w:rPr>
          <w:rFonts w:ascii="Times New Roman" w:eastAsia="Times New Roman" w:hAnsi="Times New Roman" w:cs="Times New Roman"/>
          <w:sz w:val="24"/>
          <w:szCs w:val="24"/>
        </w:rPr>
        <w:t>adınların ortalama ASOY puanı 28,05±7,4 iken, erkeklerin ortalama ASOY puanı 29,53±6,6 idi. Tablo 5’den de görüldüğü üzere c</w:t>
      </w:r>
      <w:r w:rsidRPr="005D1551">
        <w:rPr>
          <w:rFonts w:ascii="Times New Roman" w:hAnsi="Times New Roman" w:cs="Times New Roman"/>
          <w:sz w:val="24"/>
          <w:szCs w:val="24"/>
        </w:rPr>
        <w:t>insiyet sınıflamasına göre yapılan analizlerde, ortalama ASOY puanı açısından erkekler ile kadınlar arasında istatistiki açıdan bir farklılık görülmedi (p=0,311)</w:t>
      </w:r>
      <w:r w:rsidR="00D06ED4" w:rsidRPr="005D1551">
        <w:rPr>
          <w:rFonts w:ascii="Times New Roman" w:hAnsi="Times New Roman" w:cs="Times New Roman"/>
          <w:sz w:val="24"/>
          <w:szCs w:val="24"/>
        </w:rPr>
        <w:t>.</w:t>
      </w:r>
    </w:p>
    <w:p w14:paraId="676A04DA" w14:textId="671F26EB" w:rsidR="00A20407" w:rsidRPr="005D1551" w:rsidRDefault="00A20407" w:rsidP="006708F9">
      <w:pPr>
        <w:spacing w:before="120" w:after="0" w:line="360" w:lineRule="auto"/>
        <w:ind w:left="284" w:firstLine="919"/>
        <w:contextualSpacing/>
        <w:jc w:val="both"/>
        <w:rPr>
          <w:rFonts w:ascii="Times New Roman" w:hAnsi="Times New Roman" w:cs="Times New Roman"/>
          <w:sz w:val="24"/>
          <w:szCs w:val="24"/>
        </w:rPr>
      </w:pPr>
      <w:r w:rsidRPr="005D1551">
        <w:rPr>
          <w:rFonts w:ascii="Times New Roman" w:hAnsi="Times New Roman" w:cs="Times New Roman"/>
          <w:sz w:val="24"/>
          <w:szCs w:val="24"/>
        </w:rPr>
        <w:t>Araştırmaya katılan kişilerin ortalama ASOY puanları ile medeni durumlar</w:t>
      </w:r>
      <w:r w:rsidR="00E70F69" w:rsidRPr="005D1551">
        <w:rPr>
          <w:rFonts w:ascii="Times New Roman" w:hAnsi="Times New Roman" w:cs="Times New Roman"/>
          <w:sz w:val="24"/>
          <w:szCs w:val="24"/>
        </w:rPr>
        <w:t>ı incelendiğinde, e</w:t>
      </w:r>
      <w:r w:rsidRPr="005D1551">
        <w:rPr>
          <w:rFonts w:ascii="Times New Roman" w:hAnsi="Times New Roman" w:cs="Times New Roman"/>
          <w:sz w:val="24"/>
          <w:szCs w:val="24"/>
        </w:rPr>
        <w:t>vli olanların ortalama ASOY puanı 28,3</w:t>
      </w:r>
      <w:r w:rsidRPr="005D1551">
        <w:rPr>
          <w:rFonts w:ascii="Times New Roman" w:eastAsia="Times New Roman" w:hAnsi="Times New Roman" w:cs="Times New Roman"/>
          <w:sz w:val="24"/>
          <w:szCs w:val="24"/>
        </w:rPr>
        <w:t>±6,8 iken</w:t>
      </w:r>
      <w:r w:rsidRPr="005D1551">
        <w:rPr>
          <w:rFonts w:ascii="Times New Roman" w:hAnsi="Times New Roman" w:cs="Times New Roman"/>
          <w:sz w:val="24"/>
          <w:szCs w:val="24"/>
        </w:rPr>
        <w:t>, bekar olanda bu oran 30,7</w:t>
      </w:r>
      <w:r w:rsidRPr="005D1551">
        <w:rPr>
          <w:rFonts w:ascii="Times New Roman" w:eastAsia="Times New Roman" w:hAnsi="Times New Roman" w:cs="Times New Roman"/>
          <w:sz w:val="24"/>
          <w:szCs w:val="24"/>
        </w:rPr>
        <w:t>±8,2</w:t>
      </w:r>
      <w:r w:rsidRPr="005D1551">
        <w:rPr>
          <w:rFonts w:ascii="Times New Roman" w:hAnsi="Times New Roman" w:cs="Times New Roman"/>
          <w:sz w:val="24"/>
          <w:szCs w:val="24"/>
        </w:rPr>
        <w:t xml:space="preserve"> idi. Bekar olanların ortalama ASOY değerleri ile evli olanların ortalama ASOY puanları arasında istatistiki açıdan anlamlı bir farklılık görülmedi (p=0,156)</w:t>
      </w:r>
      <w:r w:rsidR="00F21332" w:rsidRPr="005D1551">
        <w:rPr>
          <w:rFonts w:ascii="Times New Roman" w:hAnsi="Times New Roman" w:cs="Times New Roman"/>
          <w:sz w:val="24"/>
          <w:szCs w:val="24"/>
        </w:rPr>
        <w:t>.</w:t>
      </w:r>
    </w:p>
    <w:p w14:paraId="69490DCA" w14:textId="4C5EE282" w:rsidR="00A20407" w:rsidRPr="005D1551" w:rsidRDefault="00A20407" w:rsidP="006708F9">
      <w:pPr>
        <w:spacing w:before="120" w:after="0" w:line="360" w:lineRule="auto"/>
        <w:ind w:left="284" w:firstLine="919"/>
        <w:contextualSpacing/>
        <w:jc w:val="both"/>
        <w:rPr>
          <w:rFonts w:ascii="Times New Roman" w:hAnsi="Times New Roman" w:cs="Times New Roman"/>
          <w:sz w:val="24"/>
          <w:szCs w:val="24"/>
        </w:rPr>
      </w:pPr>
      <w:r w:rsidRPr="005D1551">
        <w:rPr>
          <w:rFonts w:ascii="Times New Roman" w:hAnsi="Times New Roman" w:cs="Times New Roman"/>
          <w:sz w:val="24"/>
          <w:szCs w:val="24"/>
        </w:rPr>
        <w:t>Araştırmaya katılan kişilerin ortalama ASOY puanları ile meslekleri karşılaştırıldığında ev hanımlarının ortalama ASOY puanının 25,6</w:t>
      </w:r>
      <w:r w:rsidRPr="005D1551">
        <w:rPr>
          <w:rFonts w:ascii="Times New Roman" w:eastAsia="Times New Roman" w:hAnsi="Times New Roman" w:cs="Times New Roman"/>
          <w:sz w:val="24"/>
          <w:szCs w:val="24"/>
        </w:rPr>
        <w:t xml:space="preserve">±6,1, işçilerin 23,0±7,8, memurların 28,8±5,6, akademisyenlerin 32,4±6,3, öğretmenlerin 28,6±6,8 ve diğer meslek gruplarının ise 30,5±7,3 idi </w:t>
      </w:r>
      <w:r w:rsidRPr="005D1551">
        <w:rPr>
          <w:rFonts w:ascii="Times New Roman" w:hAnsi="Times New Roman" w:cs="Times New Roman"/>
          <w:sz w:val="24"/>
          <w:szCs w:val="24"/>
        </w:rPr>
        <w:t xml:space="preserve">(Tablo </w:t>
      </w:r>
      <w:r w:rsidR="00C55F46" w:rsidRPr="005D1551">
        <w:rPr>
          <w:rFonts w:ascii="Times New Roman" w:hAnsi="Times New Roman" w:cs="Times New Roman"/>
          <w:sz w:val="24"/>
          <w:szCs w:val="24"/>
        </w:rPr>
        <w:t>5</w:t>
      </w:r>
      <w:r w:rsidRPr="005D1551">
        <w:rPr>
          <w:rFonts w:ascii="Times New Roman" w:hAnsi="Times New Roman" w:cs="Times New Roman"/>
          <w:sz w:val="24"/>
          <w:szCs w:val="24"/>
        </w:rPr>
        <w:t>).</w:t>
      </w:r>
      <w:r w:rsidR="00AC68FC" w:rsidRPr="005D1551">
        <w:rPr>
          <w:rFonts w:ascii="Times New Roman" w:hAnsi="Times New Roman" w:cs="Times New Roman"/>
          <w:sz w:val="24"/>
          <w:szCs w:val="24"/>
        </w:rPr>
        <w:t xml:space="preserve"> </w:t>
      </w:r>
      <w:proofErr w:type="spellStart"/>
      <w:r w:rsidRPr="005D1551">
        <w:rPr>
          <w:rFonts w:ascii="Times New Roman" w:hAnsi="Times New Roman" w:cs="Times New Roman"/>
          <w:sz w:val="24"/>
          <w:szCs w:val="24"/>
        </w:rPr>
        <w:t>Varyans</w:t>
      </w:r>
      <w:proofErr w:type="spellEnd"/>
      <w:r w:rsidRPr="005D1551">
        <w:rPr>
          <w:rFonts w:ascii="Times New Roman" w:hAnsi="Times New Roman" w:cs="Times New Roman"/>
          <w:sz w:val="24"/>
          <w:szCs w:val="24"/>
        </w:rPr>
        <w:t xml:space="preserve"> analizi sonucunda meslek faktörü önemli (p&lt;0,001) bulundu. Buna göre işçilere ait ortalama ASOY puanı akademisyen ve diğer meslek gruplarından istatistiksel olarak anlamlı düzeyde farklılık gösterdi.</w:t>
      </w:r>
    </w:p>
    <w:p w14:paraId="7C8285DF" w14:textId="257DE046" w:rsidR="00A20407" w:rsidRPr="005D1551" w:rsidRDefault="00A20407" w:rsidP="006708F9">
      <w:pPr>
        <w:autoSpaceDE w:val="0"/>
        <w:autoSpaceDN w:val="0"/>
        <w:adjustRightInd w:val="0"/>
        <w:spacing w:before="120" w:after="0" w:line="360" w:lineRule="auto"/>
        <w:ind w:left="284" w:firstLine="919"/>
        <w:contextualSpacing/>
        <w:jc w:val="both"/>
        <w:rPr>
          <w:rFonts w:ascii="Times New Roman" w:hAnsi="Times New Roman" w:cs="Times New Roman"/>
          <w:sz w:val="24"/>
          <w:szCs w:val="24"/>
        </w:rPr>
      </w:pPr>
      <w:r w:rsidRPr="005D1551">
        <w:rPr>
          <w:rFonts w:ascii="Times New Roman" w:hAnsi="Times New Roman" w:cs="Times New Roman"/>
          <w:sz w:val="24"/>
          <w:szCs w:val="24"/>
        </w:rPr>
        <w:t xml:space="preserve">Araştırmaya katılan kişilerin </w:t>
      </w:r>
      <w:r w:rsidR="00C55F46" w:rsidRPr="005D1551">
        <w:rPr>
          <w:rFonts w:ascii="Times New Roman" w:hAnsi="Times New Roman" w:cs="Times New Roman"/>
          <w:sz w:val="24"/>
          <w:szCs w:val="24"/>
        </w:rPr>
        <w:t>s</w:t>
      </w:r>
      <w:r w:rsidRPr="005D1551">
        <w:rPr>
          <w:rFonts w:ascii="Times New Roman" w:hAnsi="Times New Roman" w:cs="Times New Roman"/>
          <w:sz w:val="24"/>
          <w:szCs w:val="24"/>
        </w:rPr>
        <w:t xml:space="preserve">on bir yıl içerisinde hastanede yatanların ortalama ASOY puanı 28,2±6,8 iken, hastanede yatmayanların ASOY puanı ise 31,2±7,7 idi. Bu sonuca göre </w:t>
      </w:r>
      <w:r w:rsidRPr="005D1551">
        <w:rPr>
          <w:rFonts w:ascii="Times New Roman" w:eastAsia="Calibri" w:hAnsi="Times New Roman" w:cs="Times New Roman"/>
          <w:sz w:val="24"/>
          <w:szCs w:val="24"/>
        </w:rPr>
        <w:t xml:space="preserve">son bir yıl içerisinde hastaneye başvuranlarla, başvurmayanların ortalama ASOY puanına göre aralarında </w:t>
      </w:r>
      <w:r w:rsidRPr="005D1551">
        <w:rPr>
          <w:rFonts w:ascii="Times New Roman" w:hAnsi="Times New Roman" w:cs="Times New Roman"/>
          <w:sz w:val="24"/>
          <w:szCs w:val="24"/>
        </w:rPr>
        <w:t>istatistiksel olarak anlamlı bir fark saptanmadı</w:t>
      </w:r>
      <w:r w:rsidR="00073623" w:rsidRPr="005D1551">
        <w:rPr>
          <w:rFonts w:ascii="Times New Roman" w:hAnsi="Times New Roman" w:cs="Times New Roman"/>
          <w:sz w:val="24"/>
          <w:szCs w:val="24"/>
        </w:rPr>
        <w:t xml:space="preserve"> </w:t>
      </w:r>
      <w:r w:rsidRPr="005D1551">
        <w:rPr>
          <w:rFonts w:ascii="Times New Roman" w:hAnsi="Times New Roman" w:cs="Times New Roman"/>
          <w:sz w:val="24"/>
          <w:szCs w:val="24"/>
        </w:rPr>
        <w:t>(p=0,055).</w:t>
      </w:r>
    </w:p>
    <w:p w14:paraId="509D0B57" w14:textId="6CDDA3C2" w:rsidR="00A20407" w:rsidRPr="005D1551" w:rsidRDefault="00A20407" w:rsidP="006708F9">
      <w:pPr>
        <w:spacing w:before="120" w:after="0" w:line="360" w:lineRule="auto"/>
        <w:ind w:left="284" w:firstLine="919"/>
        <w:contextualSpacing/>
        <w:jc w:val="both"/>
        <w:rPr>
          <w:rFonts w:ascii="Times New Roman" w:eastAsiaTheme="majorEastAsia" w:hAnsi="Times New Roman" w:cs="Times New Roman"/>
          <w:b/>
          <w:iCs/>
          <w:sz w:val="24"/>
          <w:szCs w:val="24"/>
        </w:rPr>
      </w:pPr>
      <w:r w:rsidRPr="005D1551">
        <w:rPr>
          <w:rFonts w:ascii="Times New Roman" w:hAnsi="Times New Roman" w:cs="Times New Roman"/>
          <w:sz w:val="24"/>
          <w:szCs w:val="24"/>
        </w:rPr>
        <w:t xml:space="preserve">Araştırmaya katılan kişilerin son bir yıl içerisinde acil servise başvuru durumları ile ortalama ASOY puanı karşılaştırılması Tablo </w:t>
      </w:r>
      <w:r w:rsidR="00E44BD6" w:rsidRPr="005D1551">
        <w:rPr>
          <w:rFonts w:ascii="Times New Roman" w:hAnsi="Times New Roman" w:cs="Times New Roman"/>
          <w:sz w:val="24"/>
          <w:szCs w:val="24"/>
        </w:rPr>
        <w:t>4</w:t>
      </w:r>
      <w:r w:rsidR="00C55F46" w:rsidRPr="005D1551">
        <w:rPr>
          <w:rFonts w:ascii="Times New Roman" w:hAnsi="Times New Roman" w:cs="Times New Roman"/>
          <w:sz w:val="24"/>
          <w:szCs w:val="24"/>
        </w:rPr>
        <w:t>’</w:t>
      </w:r>
      <w:r w:rsidRPr="005D1551">
        <w:rPr>
          <w:rFonts w:ascii="Times New Roman" w:hAnsi="Times New Roman" w:cs="Times New Roman"/>
          <w:sz w:val="24"/>
          <w:szCs w:val="24"/>
        </w:rPr>
        <w:t xml:space="preserve">da görülmektedir. Son bir yıl içerisinde acil servise başvuranların ortalama ASOY puanı 27,4±7,1 iken, acil servise başvurmayanların ortalama ASOY puanı ise 30,0±6,7 idi. Araştırmaya katılan kişilerin acil servise başvurularıyla ortalama ASOY puanı karşılaştırıldığında aralarında istatistiksel olarak anlamlı bir fark </w:t>
      </w:r>
      <w:r w:rsidR="00C35FB8" w:rsidRPr="005D1551">
        <w:rPr>
          <w:rFonts w:ascii="Times New Roman" w:hAnsi="Times New Roman" w:cs="Times New Roman"/>
          <w:sz w:val="24"/>
          <w:szCs w:val="24"/>
        </w:rPr>
        <w:t xml:space="preserve">görüldüğü saptandı. </w:t>
      </w:r>
      <w:r w:rsidRPr="005D1551">
        <w:rPr>
          <w:rFonts w:ascii="Times New Roman" w:hAnsi="Times New Roman" w:cs="Times New Roman"/>
          <w:sz w:val="24"/>
          <w:szCs w:val="24"/>
        </w:rPr>
        <w:t>(</w:t>
      </w:r>
      <w:proofErr w:type="gramStart"/>
      <w:r w:rsidR="00D06ED4" w:rsidRPr="005D1551">
        <w:rPr>
          <w:rFonts w:ascii="Times New Roman" w:hAnsi="Times New Roman" w:cs="Times New Roman"/>
          <w:sz w:val="24"/>
          <w:szCs w:val="24"/>
        </w:rPr>
        <w:t>p</w:t>
      </w:r>
      <w:proofErr w:type="gramEnd"/>
      <w:r w:rsidRPr="005D1551">
        <w:rPr>
          <w:rFonts w:ascii="Times New Roman" w:hAnsi="Times New Roman" w:cs="Times New Roman"/>
          <w:sz w:val="24"/>
          <w:szCs w:val="24"/>
        </w:rPr>
        <w:t>&lt;0,05</w:t>
      </w:r>
      <w:r w:rsidR="00E44BD6" w:rsidRPr="005D1551">
        <w:rPr>
          <w:rFonts w:ascii="Times New Roman" w:hAnsi="Times New Roman" w:cs="Times New Roman"/>
          <w:sz w:val="24"/>
          <w:szCs w:val="24"/>
        </w:rPr>
        <w:t>)</w:t>
      </w:r>
      <w:r w:rsidRPr="005D1551">
        <w:rPr>
          <w:rFonts w:ascii="Times New Roman" w:hAnsi="Times New Roman" w:cs="Times New Roman"/>
          <w:sz w:val="24"/>
          <w:szCs w:val="24"/>
        </w:rPr>
        <w:t>.</w:t>
      </w:r>
    </w:p>
    <w:p w14:paraId="33C8D9FB" w14:textId="70F30478" w:rsidR="00A20407" w:rsidRPr="005D1551" w:rsidRDefault="00A20407" w:rsidP="00B55AE6">
      <w:pPr>
        <w:pStyle w:val="Balk7"/>
        <w:spacing w:before="120" w:line="360" w:lineRule="auto"/>
        <w:ind w:left="284" w:firstLine="919"/>
        <w:jc w:val="both"/>
        <w:rPr>
          <w:rFonts w:ascii="Times New Roman" w:hAnsi="Times New Roman" w:cs="Times New Roman"/>
          <w:i w:val="0"/>
          <w:color w:val="auto"/>
          <w:sz w:val="24"/>
          <w:szCs w:val="24"/>
        </w:rPr>
      </w:pPr>
      <w:bookmarkStart w:id="9" w:name="_Toc12471989"/>
      <w:r w:rsidRPr="005D1551">
        <w:rPr>
          <w:rFonts w:ascii="Times New Roman" w:hAnsi="Times New Roman" w:cs="Times New Roman"/>
          <w:b/>
          <w:i w:val="0"/>
          <w:color w:val="auto"/>
          <w:sz w:val="24"/>
          <w:szCs w:val="24"/>
        </w:rPr>
        <w:t xml:space="preserve">Tablo </w:t>
      </w:r>
      <w:r w:rsidR="00E44BD6" w:rsidRPr="005D1551">
        <w:rPr>
          <w:rFonts w:ascii="Times New Roman" w:hAnsi="Times New Roman" w:cs="Times New Roman"/>
          <w:b/>
          <w:i w:val="0"/>
          <w:color w:val="auto"/>
          <w:sz w:val="24"/>
          <w:szCs w:val="24"/>
        </w:rPr>
        <w:t>4</w:t>
      </w:r>
      <w:r w:rsidR="00073623" w:rsidRPr="005D1551">
        <w:rPr>
          <w:rFonts w:ascii="Times New Roman" w:hAnsi="Times New Roman" w:cs="Times New Roman"/>
          <w:i w:val="0"/>
          <w:color w:val="auto"/>
          <w:sz w:val="24"/>
          <w:szCs w:val="24"/>
        </w:rPr>
        <w:t>:</w:t>
      </w:r>
      <w:r w:rsidRPr="005D1551">
        <w:rPr>
          <w:rFonts w:ascii="Times New Roman" w:hAnsi="Times New Roman" w:cs="Times New Roman"/>
          <w:i w:val="0"/>
          <w:color w:val="auto"/>
          <w:sz w:val="24"/>
          <w:szCs w:val="24"/>
        </w:rPr>
        <w:t xml:space="preserve"> </w:t>
      </w:r>
      <w:r w:rsidRPr="006708F9">
        <w:rPr>
          <w:rFonts w:ascii="Times New Roman" w:hAnsi="Times New Roman" w:cs="Times New Roman"/>
          <w:b/>
          <w:i w:val="0"/>
          <w:color w:val="auto"/>
          <w:sz w:val="24"/>
          <w:szCs w:val="24"/>
        </w:rPr>
        <w:t xml:space="preserve">Katılımcılardan son bir yıl içerisinde </w:t>
      </w:r>
      <w:r w:rsidR="00C35FB8" w:rsidRPr="006708F9">
        <w:rPr>
          <w:rFonts w:ascii="Times New Roman" w:hAnsi="Times New Roman" w:cs="Times New Roman"/>
          <w:b/>
          <w:i w:val="0"/>
          <w:color w:val="auto"/>
          <w:sz w:val="24"/>
          <w:szCs w:val="24"/>
        </w:rPr>
        <w:t>acil servise</w:t>
      </w:r>
      <w:r w:rsidRPr="006708F9">
        <w:rPr>
          <w:rFonts w:ascii="Times New Roman" w:hAnsi="Times New Roman" w:cs="Times New Roman"/>
          <w:b/>
          <w:i w:val="0"/>
          <w:color w:val="auto"/>
          <w:sz w:val="24"/>
          <w:szCs w:val="24"/>
        </w:rPr>
        <w:t xml:space="preserve"> başvurma durumları ile ortalama ASOY puanı karşılaştırılması</w:t>
      </w:r>
      <w:bookmarkEnd w:id="9"/>
    </w:p>
    <w:tbl>
      <w:tblPr>
        <w:tblW w:w="0" w:type="auto"/>
        <w:jc w:val="center"/>
        <w:tblLook w:val="04A0" w:firstRow="1" w:lastRow="0" w:firstColumn="1" w:lastColumn="0" w:noHBand="0" w:noVBand="1"/>
      </w:tblPr>
      <w:tblGrid>
        <w:gridCol w:w="4698"/>
        <w:gridCol w:w="3151"/>
      </w:tblGrid>
      <w:tr w:rsidR="00AD6B08" w:rsidRPr="006708F9" w14:paraId="04B1FB13" w14:textId="77777777" w:rsidTr="00E44BD6">
        <w:trPr>
          <w:jc w:val="center"/>
        </w:trPr>
        <w:tc>
          <w:tcPr>
            <w:tcW w:w="4698" w:type="dxa"/>
            <w:tcBorders>
              <w:bottom w:val="single" w:sz="4" w:space="0" w:color="auto"/>
            </w:tcBorders>
          </w:tcPr>
          <w:p w14:paraId="3B5F2FB3" w14:textId="77777777" w:rsidR="00A20407" w:rsidRPr="006708F9" w:rsidRDefault="00A20407" w:rsidP="00B55AE6">
            <w:pPr>
              <w:autoSpaceDE w:val="0"/>
              <w:autoSpaceDN w:val="0"/>
              <w:adjustRightInd w:val="0"/>
              <w:spacing w:before="120" w:after="0" w:line="360" w:lineRule="auto"/>
              <w:ind w:left="284" w:firstLine="919"/>
              <w:jc w:val="both"/>
              <w:rPr>
                <w:rFonts w:ascii="Times New Roman" w:hAnsi="Times New Roman" w:cs="Times New Roman"/>
                <w:b/>
                <w:sz w:val="20"/>
                <w:szCs w:val="20"/>
              </w:rPr>
            </w:pPr>
            <w:r w:rsidRPr="006708F9">
              <w:rPr>
                <w:rFonts w:ascii="Times New Roman" w:hAnsi="Times New Roman" w:cs="Times New Roman"/>
                <w:b/>
                <w:sz w:val="20"/>
                <w:szCs w:val="20"/>
              </w:rPr>
              <w:t>Acil Servise</w:t>
            </w:r>
          </w:p>
          <w:p w14:paraId="4DB5C4BC"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b/>
                <w:sz w:val="20"/>
                <w:szCs w:val="20"/>
              </w:rPr>
            </w:pPr>
            <w:r w:rsidRPr="006708F9">
              <w:rPr>
                <w:rFonts w:ascii="Times New Roman" w:hAnsi="Times New Roman" w:cs="Times New Roman"/>
                <w:b/>
                <w:sz w:val="20"/>
                <w:szCs w:val="20"/>
              </w:rPr>
              <w:t xml:space="preserve"> Başvuru Durumu</w:t>
            </w:r>
          </w:p>
        </w:tc>
        <w:tc>
          <w:tcPr>
            <w:tcW w:w="3151" w:type="dxa"/>
            <w:tcBorders>
              <w:bottom w:val="single" w:sz="4" w:space="0" w:color="auto"/>
            </w:tcBorders>
          </w:tcPr>
          <w:p w14:paraId="6A2B7E6C" w14:textId="219DF3CA" w:rsidR="00073623"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b/>
                <w:sz w:val="20"/>
                <w:szCs w:val="20"/>
              </w:rPr>
            </w:pPr>
            <w:r w:rsidRPr="006708F9">
              <w:rPr>
                <w:rFonts w:ascii="Times New Roman" w:hAnsi="Times New Roman" w:cs="Times New Roman"/>
                <w:b/>
                <w:sz w:val="20"/>
                <w:szCs w:val="20"/>
              </w:rPr>
              <w:t>Ortalama</w:t>
            </w:r>
            <w:r w:rsidR="00073623" w:rsidRPr="006708F9">
              <w:rPr>
                <w:rFonts w:ascii="Times New Roman" w:hAnsi="Times New Roman" w:cs="Times New Roman"/>
                <w:b/>
                <w:sz w:val="20"/>
                <w:szCs w:val="20"/>
              </w:rPr>
              <w:t xml:space="preserve"> </w:t>
            </w:r>
            <w:r w:rsidRPr="006708F9">
              <w:rPr>
                <w:rFonts w:ascii="Times New Roman" w:hAnsi="Times New Roman" w:cs="Times New Roman"/>
                <w:b/>
                <w:sz w:val="20"/>
                <w:szCs w:val="20"/>
              </w:rPr>
              <w:t>ASOY</w:t>
            </w:r>
          </w:p>
          <w:p w14:paraId="514950EA" w14:textId="2AC552A0"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b/>
                <w:sz w:val="20"/>
                <w:szCs w:val="20"/>
              </w:rPr>
            </w:pPr>
            <w:r w:rsidRPr="006708F9">
              <w:rPr>
                <w:rFonts w:ascii="Times New Roman" w:hAnsi="Times New Roman" w:cs="Times New Roman"/>
                <w:b/>
                <w:sz w:val="20"/>
                <w:szCs w:val="20"/>
              </w:rPr>
              <w:t>Puanı</w:t>
            </w:r>
            <w:r w:rsidR="00E44BD6" w:rsidRPr="006708F9">
              <w:rPr>
                <w:rFonts w:ascii="Times New Roman" w:hAnsi="Times New Roman" w:cs="Times New Roman"/>
                <w:b/>
                <w:sz w:val="20"/>
                <w:szCs w:val="20"/>
              </w:rPr>
              <w:t xml:space="preserve"> </w:t>
            </w:r>
            <w:r w:rsidRPr="006708F9">
              <w:rPr>
                <w:rFonts w:ascii="Times New Roman" w:eastAsia="Times New Roman" w:hAnsi="Times New Roman" w:cs="Times New Roman"/>
                <w:b/>
                <w:sz w:val="20"/>
                <w:szCs w:val="20"/>
              </w:rPr>
              <w:t>±</w:t>
            </w:r>
            <w:r w:rsidR="00E44BD6" w:rsidRPr="006708F9">
              <w:rPr>
                <w:rFonts w:ascii="Times New Roman" w:eastAsia="Times New Roman" w:hAnsi="Times New Roman" w:cs="Times New Roman"/>
                <w:b/>
                <w:sz w:val="20"/>
                <w:szCs w:val="20"/>
              </w:rPr>
              <w:t xml:space="preserve"> </w:t>
            </w:r>
            <w:r w:rsidRPr="006708F9">
              <w:rPr>
                <w:rFonts w:ascii="Times New Roman" w:eastAsia="Times New Roman" w:hAnsi="Times New Roman" w:cs="Times New Roman"/>
                <w:b/>
                <w:sz w:val="20"/>
                <w:szCs w:val="20"/>
              </w:rPr>
              <w:t>SS</w:t>
            </w:r>
          </w:p>
        </w:tc>
      </w:tr>
      <w:tr w:rsidR="00AD6B08" w:rsidRPr="006708F9" w14:paraId="70609A72" w14:textId="77777777" w:rsidTr="00806712">
        <w:trPr>
          <w:jc w:val="center"/>
        </w:trPr>
        <w:tc>
          <w:tcPr>
            <w:tcW w:w="4698" w:type="dxa"/>
            <w:tcBorders>
              <w:top w:val="single" w:sz="4" w:space="0" w:color="auto"/>
            </w:tcBorders>
          </w:tcPr>
          <w:p w14:paraId="3AF9C81E"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Evet</w:t>
            </w:r>
          </w:p>
        </w:tc>
        <w:tc>
          <w:tcPr>
            <w:tcW w:w="3151" w:type="dxa"/>
            <w:tcBorders>
              <w:top w:val="single" w:sz="4" w:space="0" w:color="auto"/>
            </w:tcBorders>
          </w:tcPr>
          <w:p w14:paraId="1B7EF3ED"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27,4±7,1</w:t>
            </w:r>
          </w:p>
        </w:tc>
      </w:tr>
      <w:tr w:rsidR="00AD6B08" w:rsidRPr="006708F9" w14:paraId="6D05D7A4" w14:textId="77777777" w:rsidTr="00806712">
        <w:trPr>
          <w:jc w:val="center"/>
        </w:trPr>
        <w:tc>
          <w:tcPr>
            <w:tcW w:w="4698" w:type="dxa"/>
            <w:tcBorders>
              <w:bottom w:val="single" w:sz="4" w:space="0" w:color="auto"/>
            </w:tcBorders>
          </w:tcPr>
          <w:p w14:paraId="4511EEF7"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Hayır</w:t>
            </w:r>
          </w:p>
        </w:tc>
        <w:tc>
          <w:tcPr>
            <w:tcW w:w="3151" w:type="dxa"/>
            <w:tcBorders>
              <w:bottom w:val="single" w:sz="4" w:space="0" w:color="auto"/>
            </w:tcBorders>
          </w:tcPr>
          <w:p w14:paraId="5C0954C4"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30,0±6,7</w:t>
            </w:r>
          </w:p>
        </w:tc>
      </w:tr>
    </w:tbl>
    <w:p w14:paraId="142E92C3" w14:textId="77777777" w:rsidR="00A20407" w:rsidRPr="005D1551" w:rsidRDefault="00A20407" w:rsidP="00B55AE6">
      <w:pPr>
        <w:autoSpaceDE w:val="0"/>
        <w:autoSpaceDN w:val="0"/>
        <w:adjustRightInd w:val="0"/>
        <w:spacing w:before="120" w:after="0" w:line="360" w:lineRule="auto"/>
        <w:ind w:left="284" w:firstLine="919"/>
        <w:jc w:val="both"/>
        <w:rPr>
          <w:rFonts w:ascii="Times New Roman" w:hAnsi="Times New Roman" w:cs="Times New Roman"/>
          <w:sz w:val="24"/>
          <w:szCs w:val="24"/>
        </w:rPr>
      </w:pPr>
      <w:r w:rsidRPr="005D1551">
        <w:rPr>
          <w:rFonts w:ascii="Times New Roman" w:hAnsi="Times New Roman" w:cs="Times New Roman"/>
          <w:sz w:val="24"/>
          <w:szCs w:val="24"/>
        </w:rPr>
        <w:t xml:space="preserve">SS: Standart sapma, </w:t>
      </w:r>
      <w:r w:rsidRPr="005D1551">
        <w:rPr>
          <w:rFonts w:ascii="Times New Roman" w:eastAsia="Calibri" w:hAnsi="Times New Roman" w:cs="Times New Roman"/>
          <w:sz w:val="24"/>
          <w:szCs w:val="24"/>
        </w:rPr>
        <w:t>p&lt;0,05</w:t>
      </w:r>
    </w:p>
    <w:p w14:paraId="3415242E" w14:textId="4EC8432B" w:rsidR="00A20407" w:rsidRPr="005D1551" w:rsidRDefault="00A20407" w:rsidP="006708F9">
      <w:pPr>
        <w:autoSpaceDE w:val="0"/>
        <w:autoSpaceDN w:val="0"/>
        <w:adjustRightInd w:val="0"/>
        <w:spacing w:before="120" w:after="0" w:line="360" w:lineRule="auto"/>
        <w:ind w:left="284" w:firstLine="919"/>
        <w:jc w:val="both"/>
        <w:rPr>
          <w:rFonts w:ascii="Times New Roman" w:eastAsiaTheme="majorEastAsia" w:hAnsi="Times New Roman" w:cs="Times New Roman"/>
          <w:b/>
          <w:iCs/>
          <w:sz w:val="24"/>
          <w:szCs w:val="24"/>
        </w:rPr>
      </w:pPr>
      <w:r w:rsidRPr="005D1551">
        <w:rPr>
          <w:rFonts w:ascii="Times New Roman" w:hAnsi="Times New Roman" w:cs="Times New Roman"/>
          <w:sz w:val="24"/>
          <w:szCs w:val="24"/>
        </w:rPr>
        <w:lastRenderedPageBreak/>
        <w:t xml:space="preserve">Araştırmaya katılan kişilerin kronik hastalıkları ve ortalama ASOY puanlarının karşılaştırılması Tablo </w:t>
      </w:r>
      <w:r w:rsidR="002043E8" w:rsidRPr="005D1551">
        <w:rPr>
          <w:rFonts w:ascii="Times New Roman" w:hAnsi="Times New Roman" w:cs="Times New Roman"/>
          <w:sz w:val="24"/>
          <w:szCs w:val="24"/>
        </w:rPr>
        <w:t>5</w:t>
      </w:r>
      <w:r w:rsidRPr="005D1551">
        <w:rPr>
          <w:rFonts w:ascii="Times New Roman" w:hAnsi="Times New Roman" w:cs="Times New Roman"/>
          <w:sz w:val="24"/>
          <w:szCs w:val="24"/>
        </w:rPr>
        <w:t>’d</w:t>
      </w:r>
      <w:r w:rsidR="004067E3" w:rsidRPr="005D1551">
        <w:rPr>
          <w:rFonts w:ascii="Times New Roman" w:hAnsi="Times New Roman" w:cs="Times New Roman"/>
          <w:sz w:val="24"/>
          <w:szCs w:val="24"/>
        </w:rPr>
        <w:t>e</w:t>
      </w:r>
      <w:r w:rsidRPr="005D1551">
        <w:rPr>
          <w:rFonts w:ascii="Times New Roman" w:hAnsi="Times New Roman" w:cs="Times New Roman"/>
          <w:sz w:val="24"/>
          <w:szCs w:val="24"/>
        </w:rPr>
        <w:t xml:space="preserve"> görülmektedir. Hipertansiyonu olanların ortalama ASOY puanı 29,5±8,1 iken; olmayanların ortalama ASOY puanı 28,4±6,6 idi (p=0,434). </w:t>
      </w:r>
      <w:proofErr w:type="spellStart"/>
      <w:r w:rsidRPr="005D1551">
        <w:rPr>
          <w:rFonts w:ascii="Times New Roman" w:hAnsi="Times New Roman" w:cs="Times New Roman"/>
          <w:sz w:val="24"/>
          <w:szCs w:val="24"/>
        </w:rPr>
        <w:t>Diyabetes</w:t>
      </w:r>
      <w:proofErr w:type="spellEnd"/>
      <w:r w:rsidRPr="005D1551">
        <w:rPr>
          <w:rFonts w:ascii="Times New Roman" w:hAnsi="Times New Roman" w:cs="Times New Roman"/>
          <w:sz w:val="24"/>
          <w:szCs w:val="24"/>
        </w:rPr>
        <w:t xml:space="preserve"> </w:t>
      </w:r>
      <w:proofErr w:type="spellStart"/>
      <w:r w:rsidRPr="005D1551">
        <w:rPr>
          <w:rFonts w:ascii="Times New Roman" w:hAnsi="Times New Roman" w:cs="Times New Roman"/>
          <w:sz w:val="24"/>
          <w:szCs w:val="24"/>
        </w:rPr>
        <w:t>mellitus</w:t>
      </w:r>
      <w:proofErr w:type="spellEnd"/>
      <w:r w:rsidRPr="005D1551">
        <w:rPr>
          <w:rFonts w:ascii="Times New Roman" w:hAnsi="Times New Roman" w:cs="Times New Roman"/>
          <w:sz w:val="24"/>
          <w:szCs w:val="24"/>
        </w:rPr>
        <w:t xml:space="preserve"> hastalarının ortalama ASOY puanı 30,3±5,5 olup, diyabet olmayanların ortalama ASOY puanı ise 28,1±7,5 idi (p=0,093). KOAH olanların ortalama ASOY puanı 27,1±7,3 iken olmayanların ortalama ASOY puanı 29,2±6,9 idi (p=0,127). Osteoporozu olanların ortalama ASOY puanı 26,9±6,6 iken olmayanların ortalama ASOY puanı 29,2±7,1 idi (p=0,107). </w:t>
      </w:r>
      <w:proofErr w:type="spellStart"/>
      <w:r w:rsidRPr="005D1551">
        <w:rPr>
          <w:rFonts w:ascii="Times New Roman" w:hAnsi="Times New Roman" w:cs="Times New Roman"/>
          <w:sz w:val="24"/>
          <w:szCs w:val="24"/>
        </w:rPr>
        <w:t>Romatoid</w:t>
      </w:r>
      <w:proofErr w:type="spellEnd"/>
      <w:r w:rsidRPr="005D1551">
        <w:rPr>
          <w:rFonts w:ascii="Times New Roman" w:hAnsi="Times New Roman" w:cs="Times New Roman"/>
          <w:sz w:val="24"/>
          <w:szCs w:val="24"/>
        </w:rPr>
        <w:t xml:space="preserve"> </w:t>
      </w:r>
      <w:proofErr w:type="spellStart"/>
      <w:r w:rsidRPr="005D1551">
        <w:rPr>
          <w:rFonts w:ascii="Times New Roman" w:hAnsi="Times New Roman" w:cs="Times New Roman"/>
          <w:sz w:val="24"/>
          <w:szCs w:val="24"/>
        </w:rPr>
        <w:t>artriti</w:t>
      </w:r>
      <w:proofErr w:type="spellEnd"/>
      <w:r w:rsidRPr="005D1551">
        <w:rPr>
          <w:rFonts w:ascii="Times New Roman" w:hAnsi="Times New Roman" w:cs="Times New Roman"/>
          <w:sz w:val="24"/>
          <w:szCs w:val="24"/>
        </w:rPr>
        <w:t xml:space="preserve"> olanların ortalama ASOY puanı 32,9±5,3 iken olmayanların ortalama ASOY puanı 28,4±7,1 idi (p=0,083). Araştırmaya katılan kişilerin kronik hastalıklarının olup olmamasıyla ortalama ASOY puanı karşılaştırıldığında aralarında istatistiksel olarak anlamlı bir farklılık saptanmadı (p&gt;0,05)</w:t>
      </w:r>
      <w:r w:rsidR="00073623" w:rsidRPr="005D1551">
        <w:rPr>
          <w:rFonts w:ascii="Times New Roman" w:hAnsi="Times New Roman" w:cs="Times New Roman"/>
          <w:sz w:val="24"/>
          <w:szCs w:val="24"/>
        </w:rPr>
        <w:t>.</w:t>
      </w:r>
    </w:p>
    <w:p w14:paraId="2A19BC86" w14:textId="036BB2B6" w:rsidR="00A20407" w:rsidRPr="005D1551" w:rsidRDefault="00A20407" w:rsidP="00B55AE6">
      <w:pPr>
        <w:pStyle w:val="Balk7"/>
        <w:spacing w:before="120" w:line="360" w:lineRule="auto"/>
        <w:ind w:left="284" w:firstLine="919"/>
        <w:jc w:val="both"/>
        <w:rPr>
          <w:rFonts w:ascii="Times New Roman" w:hAnsi="Times New Roman" w:cs="Times New Roman"/>
          <w:i w:val="0"/>
          <w:color w:val="auto"/>
          <w:sz w:val="24"/>
          <w:szCs w:val="24"/>
        </w:rPr>
      </w:pPr>
      <w:bookmarkStart w:id="10" w:name="_Toc12471990"/>
      <w:r w:rsidRPr="005D1551">
        <w:rPr>
          <w:rFonts w:ascii="Times New Roman" w:hAnsi="Times New Roman" w:cs="Times New Roman"/>
          <w:b/>
          <w:i w:val="0"/>
          <w:color w:val="auto"/>
          <w:sz w:val="24"/>
          <w:szCs w:val="24"/>
        </w:rPr>
        <w:t xml:space="preserve">Tablo </w:t>
      </w:r>
      <w:r w:rsidR="002043E8" w:rsidRPr="005D1551">
        <w:rPr>
          <w:rFonts w:ascii="Times New Roman" w:hAnsi="Times New Roman" w:cs="Times New Roman"/>
          <w:b/>
          <w:i w:val="0"/>
          <w:color w:val="auto"/>
          <w:sz w:val="24"/>
          <w:szCs w:val="24"/>
        </w:rPr>
        <w:t>5</w:t>
      </w:r>
      <w:r w:rsidR="00073623" w:rsidRPr="005D1551">
        <w:rPr>
          <w:rFonts w:ascii="Times New Roman" w:hAnsi="Times New Roman" w:cs="Times New Roman"/>
          <w:i w:val="0"/>
          <w:color w:val="auto"/>
          <w:sz w:val="24"/>
          <w:szCs w:val="24"/>
        </w:rPr>
        <w:t>:</w:t>
      </w:r>
      <w:r w:rsidRPr="005D1551">
        <w:rPr>
          <w:rFonts w:ascii="Times New Roman" w:hAnsi="Times New Roman" w:cs="Times New Roman"/>
          <w:i w:val="0"/>
          <w:color w:val="auto"/>
          <w:sz w:val="24"/>
          <w:szCs w:val="24"/>
        </w:rPr>
        <w:t xml:space="preserve"> </w:t>
      </w:r>
      <w:r w:rsidRPr="005D1551">
        <w:rPr>
          <w:rFonts w:ascii="Times New Roman" w:hAnsi="Times New Roman" w:cs="Times New Roman"/>
          <w:b/>
          <w:i w:val="0"/>
          <w:color w:val="auto"/>
          <w:sz w:val="24"/>
          <w:szCs w:val="24"/>
        </w:rPr>
        <w:t>Katılımcıların kronik hastalıklarıyla ortalama ASOY puanlarının karşılaştırılması</w:t>
      </w:r>
      <w:bookmarkEnd w:id="10"/>
    </w:p>
    <w:tbl>
      <w:tblPr>
        <w:tblW w:w="0" w:type="auto"/>
        <w:jc w:val="center"/>
        <w:tblBorders>
          <w:top w:val="single" w:sz="4" w:space="0" w:color="auto"/>
          <w:bottom w:val="single" w:sz="4" w:space="0" w:color="auto"/>
        </w:tblBorders>
        <w:tblLook w:val="04A0" w:firstRow="1" w:lastRow="0" w:firstColumn="1" w:lastColumn="0" w:noHBand="0" w:noVBand="1"/>
      </w:tblPr>
      <w:tblGrid>
        <w:gridCol w:w="4075"/>
        <w:gridCol w:w="2588"/>
        <w:gridCol w:w="1869"/>
      </w:tblGrid>
      <w:tr w:rsidR="00AD6B08" w:rsidRPr="006708F9" w14:paraId="16889854" w14:textId="77777777" w:rsidTr="002043E8">
        <w:trPr>
          <w:trHeight w:val="20"/>
          <w:jc w:val="center"/>
        </w:trPr>
        <w:tc>
          <w:tcPr>
            <w:tcW w:w="4075" w:type="dxa"/>
            <w:tcBorders>
              <w:top w:val="nil"/>
              <w:bottom w:val="single" w:sz="4" w:space="0" w:color="auto"/>
            </w:tcBorders>
          </w:tcPr>
          <w:p w14:paraId="386222EB"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b/>
                <w:sz w:val="20"/>
                <w:szCs w:val="20"/>
              </w:rPr>
            </w:pPr>
            <w:r w:rsidRPr="006708F9">
              <w:rPr>
                <w:rFonts w:ascii="Times New Roman" w:hAnsi="Times New Roman" w:cs="Times New Roman"/>
                <w:b/>
                <w:sz w:val="20"/>
                <w:szCs w:val="20"/>
              </w:rPr>
              <w:t>Kronik Hastalık</w:t>
            </w:r>
          </w:p>
        </w:tc>
        <w:tc>
          <w:tcPr>
            <w:tcW w:w="0" w:type="auto"/>
            <w:tcBorders>
              <w:top w:val="nil"/>
              <w:bottom w:val="single" w:sz="4" w:space="0" w:color="auto"/>
            </w:tcBorders>
          </w:tcPr>
          <w:p w14:paraId="27E25ABA" w14:textId="1FA6A415" w:rsidR="00A20407" w:rsidRPr="006708F9" w:rsidRDefault="00A20407" w:rsidP="002043E8">
            <w:pPr>
              <w:autoSpaceDE w:val="0"/>
              <w:autoSpaceDN w:val="0"/>
              <w:adjustRightInd w:val="0"/>
              <w:spacing w:before="120" w:after="40" w:line="360" w:lineRule="auto"/>
              <w:jc w:val="both"/>
              <w:rPr>
                <w:rFonts w:ascii="Times New Roman" w:hAnsi="Times New Roman" w:cs="Times New Roman"/>
                <w:b/>
                <w:sz w:val="20"/>
                <w:szCs w:val="20"/>
              </w:rPr>
            </w:pPr>
            <w:r w:rsidRPr="006708F9">
              <w:rPr>
                <w:rFonts w:ascii="Times New Roman" w:hAnsi="Times New Roman" w:cs="Times New Roman"/>
                <w:b/>
                <w:sz w:val="20"/>
                <w:szCs w:val="20"/>
              </w:rPr>
              <w:t>Ortalama</w:t>
            </w:r>
            <w:r w:rsidR="002043E8" w:rsidRPr="006708F9">
              <w:rPr>
                <w:rFonts w:ascii="Times New Roman" w:hAnsi="Times New Roman" w:cs="Times New Roman"/>
                <w:b/>
                <w:sz w:val="20"/>
                <w:szCs w:val="20"/>
              </w:rPr>
              <w:t xml:space="preserve"> </w:t>
            </w:r>
            <w:r w:rsidRPr="006708F9">
              <w:rPr>
                <w:rFonts w:ascii="Times New Roman" w:hAnsi="Times New Roman" w:cs="Times New Roman"/>
                <w:b/>
                <w:sz w:val="20"/>
                <w:szCs w:val="20"/>
              </w:rPr>
              <w:t>ASOY</w:t>
            </w:r>
            <w:r w:rsidR="002043E8" w:rsidRPr="006708F9">
              <w:rPr>
                <w:rFonts w:ascii="Times New Roman" w:hAnsi="Times New Roman" w:cs="Times New Roman"/>
                <w:b/>
                <w:sz w:val="20"/>
                <w:szCs w:val="20"/>
              </w:rPr>
              <w:t xml:space="preserve"> </w:t>
            </w:r>
            <w:r w:rsidRPr="006708F9">
              <w:rPr>
                <w:rFonts w:ascii="Times New Roman" w:hAnsi="Times New Roman" w:cs="Times New Roman"/>
                <w:b/>
                <w:sz w:val="20"/>
                <w:szCs w:val="20"/>
              </w:rPr>
              <w:t>Puanı</w:t>
            </w:r>
            <w:r w:rsidR="002043E8" w:rsidRPr="006708F9">
              <w:rPr>
                <w:rFonts w:ascii="Times New Roman" w:hAnsi="Times New Roman" w:cs="Times New Roman"/>
                <w:b/>
                <w:sz w:val="20"/>
                <w:szCs w:val="20"/>
              </w:rPr>
              <w:t xml:space="preserve"> </w:t>
            </w:r>
            <w:r w:rsidRPr="006708F9">
              <w:rPr>
                <w:rFonts w:ascii="Times New Roman" w:eastAsia="Times New Roman" w:hAnsi="Times New Roman" w:cs="Times New Roman"/>
                <w:b/>
                <w:sz w:val="20"/>
                <w:szCs w:val="20"/>
              </w:rPr>
              <w:t>±</w:t>
            </w:r>
            <w:r w:rsidRPr="006708F9">
              <w:rPr>
                <w:rFonts w:ascii="Times New Roman" w:hAnsi="Times New Roman" w:cs="Times New Roman"/>
                <w:b/>
                <w:sz w:val="20"/>
                <w:szCs w:val="20"/>
              </w:rPr>
              <w:t>SS</w:t>
            </w:r>
          </w:p>
        </w:tc>
        <w:tc>
          <w:tcPr>
            <w:tcW w:w="1287" w:type="dxa"/>
            <w:tcBorders>
              <w:top w:val="nil"/>
              <w:bottom w:val="single" w:sz="4" w:space="0" w:color="auto"/>
            </w:tcBorders>
          </w:tcPr>
          <w:p w14:paraId="31BF64BE" w14:textId="751D4FC3"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b/>
                <w:sz w:val="20"/>
                <w:szCs w:val="20"/>
              </w:rPr>
            </w:pPr>
            <w:proofErr w:type="gramStart"/>
            <w:r w:rsidRPr="006708F9">
              <w:rPr>
                <w:rFonts w:ascii="Times New Roman" w:hAnsi="Times New Roman" w:cs="Times New Roman"/>
                <w:b/>
                <w:sz w:val="20"/>
                <w:szCs w:val="20"/>
              </w:rPr>
              <w:t>p</w:t>
            </w:r>
            <w:proofErr w:type="gramEnd"/>
          </w:p>
        </w:tc>
      </w:tr>
      <w:tr w:rsidR="00AD6B08" w:rsidRPr="006708F9" w14:paraId="358639EE" w14:textId="77777777" w:rsidTr="00C35FB8">
        <w:trPr>
          <w:trHeight w:val="20"/>
          <w:jc w:val="center"/>
        </w:trPr>
        <w:tc>
          <w:tcPr>
            <w:tcW w:w="4075" w:type="dxa"/>
            <w:tcBorders>
              <w:top w:val="single" w:sz="4" w:space="0" w:color="auto"/>
            </w:tcBorders>
          </w:tcPr>
          <w:p w14:paraId="1148970D"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b/>
                <w:sz w:val="20"/>
                <w:szCs w:val="20"/>
              </w:rPr>
            </w:pPr>
            <w:r w:rsidRPr="006708F9">
              <w:rPr>
                <w:rFonts w:ascii="Times New Roman" w:hAnsi="Times New Roman" w:cs="Times New Roman"/>
                <w:b/>
                <w:sz w:val="20"/>
                <w:szCs w:val="20"/>
              </w:rPr>
              <w:t>Hipertansiyon</w:t>
            </w:r>
          </w:p>
          <w:p w14:paraId="28D77A9B"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Var</w:t>
            </w:r>
          </w:p>
          <w:p w14:paraId="6D875E94"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 xml:space="preserve"> Yok</w:t>
            </w:r>
          </w:p>
        </w:tc>
        <w:tc>
          <w:tcPr>
            <w:tcW w:w="0" w:type="auto"/>
            <w:tcBorders>
              <w:top w:val="single" w:sz="4" w:space="0" w:color="auto"/>
            </w:tcBorders>
          </w:tcPr>
          <w:p w14:paraId="7D443E89"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p>
          <w:p w14:paraId="3E2007D4"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30,3±5,5</w:t>
            </w:r>
          </w:p>
          <w:p w14:paraId="6DD925CE"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28,4±6,6</w:t>
            </w:r>
          </w:p>
        </w:tc>
        <w:tc>
          <w:tcPr>
            <w:tcW w:w="1287" w:type="dxa"/>
            <w:tcBorders>
              <w:top w:val="single" w:sz="4" w:space="0" w:color="auto"/>
            </w:tcBorders>
          </w:tcPr>
          <w:p w14:paraId="3E8C4F37"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p>
          <w:p w14:paraId="27C7C2BB"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0,434</w:t>
            </w:r>
          </w:p>
        </w:tc>
      </w:tr>
      <w:tr w:rsidR="00AD6B08" w:rsidRPr="006708F9" w14:paraId="5421444E" w14:textId="77777777" w:rsidTr="00C35FB8">
        <w:trPr>
          <w:trHeight w:val="20"/>
          <w:jc w:val="center"/>
        </w:trPr>
        <w:tc>
          <w:tcPr>
            <w:tcW w:w="4075" w:type="dxa"/>
          </w:tcPr>
          <w:p w14:paraId="79692990" w14:textId="113AF48F"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b/>
                <w:sz w:val="20"/>
                <w:szCs w:val="20"/>
              </w:rPr>
            </w:pPr>
            <w:proofErr w:type="spellStart"/>
            <w:r w:rsidRPr="006708F9">
              <w:rPr>
                <w:rFonts w:ascii="Times New Roman" w:hAnsi="Times New Roman" w:cs="Times New Roman"/>
                <w:b/>
                <w:sz w:val="20"/>
                <w:szCs w:val="20"/>
              </w:rPr>
              <w:t>Diyabetes</w:t>
            </w:r>
            <w:proofErr w:type="spellEnd"/>
            <w:r w:rsidRPr="006708F9">
              <w:rPr>
                <w:rFonts w:ascii="Times New Roman" w:hAnsi="Times New Roman" w:cs="Times New Roman"/>
                <w:b/>
                <w:sz w:val="20"/>
                <w:szCs w:val="20"/>
              </w:rPr>
              <w:t xml:space="preserve"> </w:t>
            </w:r>
            <w:proofErr w:type="spellStart"/>
            <w:r w:rsidR="005501B5">
              <w:rPr>
                <w:rFonts w:ascii="Times New Roman" w:hAnsi="Times New Roman" w:cs="Times New Roman"/>
                <w:b/>
                <w:sz w:val="20"/>
                <w:szCs w:val="20"/>
              </w:rPr>
              <w:t>M</w:t>
            </w:r>
            <w:r w:rsidRPr="006708F9">
              <w:rPr>
                <w:rFonts w:ascii="Times New Roman" w:hAnsi="Times New Roman" w:cs="Times New Roman"/>
                <w:b/>
                <w:sz w:val="20"/>
                <w:szCs w:val="20"/>
              </w:rPr>
              <w:t>ellitus</w:t>
            </w:r>
            <w:proofErr w:type="spellEnd"/>
          </w:p>
          <w:p w14:paraId="526C6BCD"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Var</w:t>
            </w:r>
          </w:p>
          <w:p w14:paraId="2470864B"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Yok</w:t>
            </w:r>
          </w:p>
        </w:tc>
        <w:tc>
          <w:tcPr>
            <w:tcW w:w="0" w:type="auto"/>
          </w:tcPr>
          <w:p w14:paraId="0BDCB787"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p>
          <w:p w14:paraId="2D796613"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30,3±5,5</w:t>
            </w:r>
          </w:p>
          <w:p w14:paraId="254DAAF0"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28,1±7,5</w:t>
            </w:r>
          </w:p>
        </w:tc>
        <w:tc>
          <w:tcPr>
            <w:tcW w:w="1287" w:type="dxa"/>
          </w:tcPr>
          <w:p w14:paraId="2FA39055"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p>
          <w:p w14:paraId="30E4C9DF"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0,093</w:t>
            </w:r>
          </w:p>
        </w:tc>
      </w:tr>
      <w:tr w:rsidR="00AD6B08" w:rsidRPr="006708F9" w14:paraId="535A3EC1" w14:textId="77777777" w:rsidTr="00C35FB8">
        <w:trPr>
          <w:trHeight w:val="20"/>
          <w:jc w:val="center"/>
        </w:trPr>
        <w:tc>
          <w:tcPr>
            <w:tcW w:w="4075" w:type="dxa"/>
          </w:tcPr>
          <w:p w14:paraId="1B464B71"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b/>
                <w:sz w:val="20"/>
                <w:szCs w:val="20"/>
              </w:rPr>
            </w:pPr>
            <w:r w:rsidRPr="006708F9">
              <w:rPr>
                <w:rFonts w:ascii="Times New Roman" w:hAnsi="Times New Roman" w:cs="Times New Roman"/>
                <w:b/>
                <w:sz w:val="20"/>
                <w:szCs w:val="20"/>
              </w:rPr>
              <w:t>KOAH</w:t>
            </w:r>
          </w:p>
          <w:p w14:paraId="72C8DF20"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Var</w:t>
            </w:r>
          </w:p>
          <w:p w14:paraId="1F24CDDB"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Yok</w:t>
            </w:r>
          </w:p>
        </w:tc>
        <w:tc>
          <w:tcPr>
            <w:tcW w:w="0" w:type="auto"/>
          </w:tcPr>
          <w:p w14:paraId="61FA0E84"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p>
          <w:p w14:paraId="510BD47D"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27,1±7,3</w:t>
            </w:r>
          </w:p>
          <w:p w14:paraId="4DE3A6E3"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29,2±6,9</w:t>
            </w:r>
          </w:p>
        </w:tc>
        <w:tc>
          <w:tcPr>
            <w:tcW w:w="1287" w:type="dxa"/>
          </w:tcPr>
          <w:p w14:paraId="31862663"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p>
          <w:p w14:paraId="027B683B"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0,127</w:t>
            </w:r>
          </w:p>
        </w:tc>
      </w:tr>
      <w:tr w:rsidR="00AD6B08" w:rsidRPr="006708F9" w14:paraId="0F7791EA" w14:textId="77777777" w:rsidTr="00C35FB8">
        <w:trPr>
          <w:trHeight w:val="20"/>
          <w:jc w:val="center"/>
        </w:trPr>
        <w:tc>
          <w:tcPr>
            <w:tcW w:w="4075" w:type="dxa"/>
          </w:tcPr>
          <w:p w14:paraId="4826491B"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b/>
                <w:sz w:val="20"/>
                <w:szCs w:val="20"/>
              </w:rPr>
            </w:pPr>
            <w:r w:rsidRPr="006708F9">
              <w:rPr>
                <w:rFonts w:ascii="Times New Roman" w:hAnsi="Times New Roman" w:cs="Times New Roman"/>
                <w:b/>
                <w:sz w:val="20"/>
                <w:szCs w:val="20"/>
              </w:rPr>
              <w:t>Osteoporoz</w:t>
            </w:r>
          </w:p>
          <w:p w14:paraId="7FCF7D3A"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Var</w:t>
            </w:r>
          </w:p>
          <w:p w14:paraId="560413E7"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Yok</w:t>
            </w:r>
          </w:p>
        </w:tc>
        <w:tc>
          <w:tcPr>
            <w:tcW w:w="0" w:type="auto"/>
          </w:tcPr>
          <w:p w14:paraId="757C6C3E"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p>
          <w:p w14:paraId="415172DF"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26,9±6,6</w:t>
            </w:r>
          </w:p>
          <w:p w14:paraId="6CB0A1A9"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29,2±7,1</w:t>
            </w:r>
          </w:p>
        </w:tc>
        <w:tc>
          <w:tcPr>
            <w:tcW w:w="1287" w:type="dxa"/>
          </w:tcPr>
          <w:p w14:paraId="4F36C9A1"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p>
          <w:p w14:paraId="03E1FB6F"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0,107</w:t>
            </w:r>
          </w:p>
        </w:tc>
      </w:tr>
      <w:tr w:rsidR="00AD6B08" w:rsidRPr="006708F9" w14:paraId="2923ABF9" w14:textId="77777777" w:rsidTr="00C35FB8">
        <w:trPr>
          <w:trHeight w:val="20"/>
          <w:jc w:val="center"/>
        </w:trPr>
        <w:tc>
          <w:tcPr>
            <w:tcW w:w="4075" w:type="dxa"/>
          </w:tcPr>
          <w:p w14:paraId="79258782" w14:textId="13E7C6F1"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b/>
                <w:sz w:val="20"/>
                <w:szCs w:val="20"/>
              </w:rPr>
            </w:pPr>
            <w:proofErr w:type="spellStart"/>
            <w:r w:rsidRPr="006708F9">
              <w:rPr>
                <w:rFonts w:ascii="Times New Roman" w:hAnsi="Times New Roman" w:cs="Times New Roman"/>
                <w:b/>
                <w:sz w:val="20"/>
                <w:szCs w:val="20"/>
              </w:rPr>
              <w:t>Romatoid</w:t>
            </w:r>
            <w:proofErr w:type="spellEnd"/>
            <w:r w:rsidRPr="006708F9">
              <w:rPr>
                <w:rFonts w:ascii="Times New Roman" w:hAnsi="Times New Roman" w:cs="Times New Roman"/>
                <w:b/>
                <w:sz w:val="20"/>
                <w:szCs w:val="20"/>
              </w:rPr>
              <w:t xml:space="preserve"> </w:t>
            </w:r>
            <w:proofErr w:type="spellStart"/>
            <w:r w:rsidR="00C91A48">
              <w:rPr>
                <w:rFonts w:ascii="Times New Roman" w:hAnsi="Times New Roman" w:cs="Times New Roman"/>
                <w:b/>
                <w:sz w:val="20"/>
                <w:szCs w:val="20"/>
              </w:rPr>
              <w:t>A</w:t>
            </w:r>
            <w:r w:rsidRPr="006708F9">
              <w:rPr>
                <w:rFonts w:ascii="Times New Roman" w:hAnsi="Times New Roman" w:cs="Times New Roman"/>
                <w:b/>
                <w:sz w:val="20"/>
                <w:szCs w:val="20"/>
              </w:rPr>
              <w:t>rtrit</w:t>
            </w:r>
            <w:proofErr w:type="spellEnd"/>
          </w:p>
          <w:p w14:paraId="2FCC8DB3"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Var</w:t>
            </w:r>
          </w:p>
          <w:p w14:paraId="5564CF16"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Yok</w:t>
            </w:r>
          </w:p>
        </w:tc>
        <w:tc>
          <w:tcPr>
            <w:tcW w:w="0" w:type="auto"/>
          </w:tcPr>
          <w:p w14:paraId="17696EA3"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p>
          <w:p w14:paraId="42C62F6B"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32,9±5,3</w:t>
            </w:r>
          </w:p>
          <w:p w14:paraId="4815EB4B"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28,4±7,1</w:t>
            </w:r>
          </w:p>
        </w:tc>
        <w:tc>
          <w:tcPr>
            <w:tcW w:w="1287" w:type="dxa"/>
          </w:tcPr>
          <w:p w14:paraId="0BF08AC5"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p>
          <w:p w14:paraId="260857F9"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0,083</w:t>
            </w:r>
          </w:p>
        </w:tc>
      </w:tr>
    </w:tbl>
    <w:p w14:paraId="588931FE" w14:textId="77777777" w:rsidR="00A20407" w:rsidRPr="005D1551" w:rsidRDefault="00A20407" w:rsidP="00B55AE6">
      <w:pPr>
        <w:spacing w:before="120" w:after="0" w:line="360" w:lineRule="auto"/>
        <w:ind w:left="284" w:firstLine="919"/>
        <w:jc w:val="both"/>
        <w:rPr>
          <w:rFonts w:ascii="Times New Roman" w:hAnsi="Times New Roman" w:cs="Times New Roman"/>
          <w:sz w:val="24"/>
          <w:szCs w:val="24"/>
        </w:rPr>
      </w:pPr>
      <w:r w:rsidRPr="005D1551">
        <w:rPr>
          <w:rFonts w:ascii="Times New Roman" w:hAnsi="Times New Roman" w:cs="Times New Roman"/>
          <w:sz w:val="24"/>
          <w:szCs w:val="24"/>
        </w:rPr>
        <w:t xml:space="preserve">  SS: Standart sapma, p&gt;0,05</w:t>
      </w:r>
    </w:p>
    <w:p w14:paraId="224FC281" w14:textId="60380C3B" w:rsidR="00A20407" w:rsidRPr="005D1551" w:rsidRDefault="00A20407" w:rsidP="006708F9">
      <w:pPr>
        <w:autoSpaceDE w:val="0"/>
        <w:autoSpaceDN w:val="0"/>
        <w:adjustRightInd w:val="0"/>
        <w:spacing w:before="120" w:after="0" w:line="360" w:lineRule="auto"/>
        <w:ind w:left="284" w:firstLine="919"/>
        <w:jc w:val="both"/>
        <w:rPr>
          <w:rFonts w:ascii="Times New Roman" w:hAnsi="Times New Roman" w:cs="Times New Roman"/>
          <w:sz w:val="24"/>
          <w:szCs w:val="24"/>
        </w:rPr>
      </w:pPr>
      <w:r w:rsidRPr="005D1551">
        <w:rPr>
          <w:rFonts w:ascii="Times New Roman" w:hAnsi="Times New Roman" w:cs="Times New Roman"/>
          <w:sz w:val="24"/>
          <w:szCs w:val="24"/>
        </w:rPr>
        <w:lastRenderedPageBreak/>
        <w:t xml:space="preserve">Araştırmaya katılan kişilerin görme ve işitme sorunları ile ortalama ASOY puanlarının karşılaştırılması Tablo </w:t>
      </w:r>
      <w:r w:rsidR="00806712" w:rsidRPr="005D1551">
        <w:rPr>
          <w:rFonts w:ascii="Times New Roman" w:hAnsi="Times New Roman" w:cs="Times New Roman"/>
          <w:sz w:val="24"/>
          <w:szCs w:val="24"/>
        </w:rPr>
        <w:t>6</w:t>
      </w:r>
      <w:r w:rsidRPr="005D1551">
        <w:rPr>
          <w:rFonts w:ascii="Times New Roman" w:hAnsi="Times New Roman" w:cs="Times New Roman"/>
          <w:sz w:val="24"/>
          <w:szCs w:val="24"/>
        </w:rPr>
        <w:t>’d</w:t>
      </w:r>
      <w:r w:rsidR="009E44B7" w:rsidRPr="005D1551">
        <w:rPr>
          <w:rFonts w:ascii="Times New Roman" w:hAnsi="Times New Roman" w:cs="Times New Roman"/>
          <w:sz w:val="24"/>
          <w:szCs w:val="24"/>
        </w:rPr>
        <w:t>a</w:t>
      </w:r>
      <w:r w:rsidRPr="005D1551">
        <w:rPr>
          <w:rFonts w:ascii="Times New Roman" w:hAnsi="Times New Roman" w:cs="Times New Roman"/>
          <w:sz w:val="24"/>
          <w:szCs w:val="24"/>
        </w:rPr>
        <w:t xml:space="preserve"> verildi. Görme sorunu olanların ortalama ASOY puanı 24,6±6,9 iken olmayanların ortalama ASOY puanı ise 29,7±6,8 idi (p&lt;0,001). İşitme sorunu olanların ortalama ASOY puanı 24,8±7,2 iken işitme sorunu olmayanların ortalama ASOY puanı 29,4±6,8 idi (p&lt;0,01).</w:t>
      </w:r>
    </w:p>
    <w:p w14:paraId="0C219C56" w14:textId="2FAA7B7E" w:rsidR="00806712" w:rsidRPr="005D1551" w:rsidRDefault="00806712" w:rsidP="006708F9">
      <w:pPr>
        <w:autoSpaceDE w:val="0"/>
        <w:autoSpaceDN w:val="0"/>
        <w:adjustRightInd w:val="0"/>
        <w:spacing w:before="120" w:after="0" w:line="360" w:lineRule="auto"/>
        <w:ind w:left="284" w:firstLine="919"/>
        <w:jc w:val="both"/>
        <w:rPr>
          <w:rFonts w:ascii="Times New Roman" w:hAnsi="Times New Roman" w:cs="Times New Roman"/>
          <w:sz w:val="24"/>
          <w:szCs w:val="24"/>
        </w:rPr>
      </w:pPr>
      <w:r w:rsidRPr="005D1551">
        <w:rPr>
          <w:rFonts w:ascii="Times New Roman" w:hAnsi="Times New Roman" w:cs="Times New Roman"/>
          <w:sz w:val="24"/>
          <w:szCs w:val="24"/>
        </w:rPr>
        <w:t xml:space="preserve">Araştırmaya katılan kişilerin MMÖ puanı ile ortalama ASOY puanlarının karşılaştırılması incelendiğinde </w:t>
      </w:r>
      <w:proofErr w:type="spellStart"/>
      <w:r w:rsidRPr="005D1551">
        <w:rPr>
          <w:rFonts w:ascii="Times New Roman" w:hAnsi="Times New Roman" w:cs="Times New Roman"/>
          <w:sz w:val="24"/>
          <w:szCs w:val="24"/>
        </w:rPr>
        <w:t>MMÖ’ye</w:t>
      </w:r>
      <w:proofErr w:type="spellEnd"/>
      <w:r w:rsidRPr="005D1551">
        <w:rPr>
          <w:rFonts w:ascii="Times New Roman" w:hAnsi="Times New Roman" w:cs="Times New Roman"/>
          <w:sz w:val="24"/>
          <w:szCs w:val="24"/>
        </w:rPr>
        <w:t xml:space="preserve"> göre düşük bilgi düzeyi olanların ortalama ASOY puanı 27,4±6,5 idi. Buna karşın yüksek bilgi düzeyi olanların ortalama ASOY puanı ise 29,8±7,4 idi. Bu iki ortalama arasındaki fark ise istatistiki açıdan önemli bulundu (p&lt;0,05).</w:t>
      </w:r>
    </w:p>
    <w:p w14:paraId="613A1417" w14:textId="3A5064C5" w:rsidR="00806712" w:rsidRPr="005D1551" w:rsidRDefault="00806712" w:rsidP="006708F9">
      <w:pPr>
        <w:autoSpaceDE w:val="0"/>
        <w:autoSpaceDN w:val="0"/>
        <w:adjustRightInd w:val="0"/>
        <w:spacing w:before="120" w:after="0" w:line="360" w:lineRule="auto"/>
        <w:ind w:left="284" w:firstLine="919"/>
        <w:jc w:val="both"/>
        <w:rPr>
          <w:rFonts w:ascii="Times New Roman" w:hAnsi="Times New Roman" w:cs="Times New Roman"/>
          <w:sz w:val="24"/>
          <w:szCs w:val="24"/>
        </w:rPr>
      </w:pPr>
      <w:r w:rsidRPr="005D1551">
        <w:rPr>
          <w:rFonts w:ascii="Times New Roman" w:hAnsi="Times New Roman" w:cs="Times New Roman"/>
          <w:sz w:val="24"/>
          <w:szCs w:val="24"/>
        </w:rPr>
        <w:t>MMÖ düşük motivasyon düzeyi olanların ortalama ASOY puanı 27,8±6,5 olup, yüksek motivasyon düzeyi olanların ortalama ASOY puanı 30,06±7,6 idi. MMÖ bilgi düzeyi parametresinde olduğu gibi MMÖ motivasyon parametresinde de ortalamalara arasında istatistiki açıdan önemli farklılık belirlendi ve en düşük ortalama değer yüksek motivasyon seviyesinde saptandı (p&lt;0,05).</w:t>
      </w:r>
    </w:p>
    <w:p w14:paraId="68E5918C" w14:textId="265FBC83" w:rsidR="00A20407" w:rsidRPr="005D1551" w:rsidRDefault="00A20407" w:rsidP="00B55AE6">
      <w:pPr>
        <w:pStyle w:val="Balk7"/>
        <w:spacing w:before="120" w:line="360" w:lineRule="auto"/>
        <w:ind w:left="284" w:firstLine="919"/>
        <w:jc w:val="both"/>
        <w:rPr>
          <w:rFonts w:ascii="Times New Roman" w:hAnsi="Times New Roman" w:cs="Times New Roman"/>
          <w:b/>
          <w:i w:val="0"/>
          <w:color w:val="auto"/>
          <w:sz w:val="24"/>
          <w:szCs w:val="24"/>
        </w:rPr>
      </w:pPr>
      <w:bookmarkStart w:id="11" w:name="_Toc12471991"/>
      <w:r w:rsidRPr="005D1551">
        <w:rPr>
          <w:rFonts w:ascii="Times New Roman" w:hAnsi="Times New Roman" w:cs="Times New Roman"/>
          <w:b/>
          <w:i w:val="0"/>
          <w:color w:val="auto"/>
          <w:sz w:val="24"/>
          <w:szCs w:val="24"/>
        </w:rPr>
        <w:t xml:space="preserve">Tablo </w:t>
      </w:r>
      <w:r w:rsidR="00806712" w:rsidRPr="005D1551">
        <w:rPr>
          <w:rFonts w:ascii="Times New Roman" w:hAnsi="Times New Roman" w:cs="Times New Roman"/>
          <w:b/>
          <w:i w:val="0"/>
          <w:color w:val="auto"/>
          <w:sz w:val="24"/>
          <w:szCs w:val="24"/>
        </w:rPr>
        <w:t>6</w:t>
      </w:r>
      <w:r w:rsidR="009E44B7" w:rsidRPr="005D1551">
        <w:rPr>
          <w:rFonts w:ascii="Times New Roman" w:hAnsi="Times New Roman" w:cs="Times New Roman"/>
          <w:b/>
          <w:i w:val="0"/>
          <w:color w:val="auto"/>
          <w:sz w:val="24"/>
          <w:szCs w:val="24"/>
        </w:rPr>
        <w:t>:</w:t>
      </w:r>
      <w:r w:rsidRPr="005D1551">
        <w:rPr>
          <w:rFonts w:ascii="Times New Roman" w:hAnsi="Times New Roman" w:cs="Times New Roman"/>
          <w:b/>
          <w:i w:val="0"/>
          <w:color w:val="auto"/>
          <w:sz w:val="24"/>
          <w:szCs w:val="24"/>
        </w:rPr>
        <w:t xml:space="preserve"> Katılımcıların görme ve işitme sorunlarıyla ortalama ASOY puanlarının karşılaştırılması</w:t>
      </w:r>
      <w:bookmarkEnd w:id="11"/>
    </w:p>
    <w:p w14:paraId="41CFB18D" w14:textId="77777777" w:rsidR="00806712" w:rsidRPr="005D1551" w:rsidRDefault="00806712" w:rsidP="00806712">
      <w:pPr>
        <w:rPr>
          <w:rFonts w:ascii="Times New Roman" w:hAnsi="Times New Roman" w:cs="Times New Roman"/>
          <w:sz w:val="24"/>
          <w:szCs w:val="24"/>
        </w:rPr>
      </w:pP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3261"/>
        <w:gridCol w:w="3685"/>
        <w:gridCol w:w="2095"/>
        <w:gridCol w:w="31"/>
      </w:tblGrid>
      <w:tr w:rsidR="00AD6B08" w:rsidRPr="006708F9" w14:paraId="7B0F80A1" w14:textId="77777777" w:rsidTr="00806712">
        <w:trPr>
          <w:gridAfter w:val="1"/>
          <w:wAfter w:w="31" w:type="dxa"/>
          <w:jc w:val="center"/>
        </w:trPr>
        <w:tc>
          <w:tcPr>
            <w:tcW w:w="3261" w:type="dxa"/>
            <w:tcBorders>
              <w:top w:val="nil"/>
              <w:bottom w:val="single" w:sz="4" w:space="0" w:color="auto"/>
            </w:tcBorders>
          </w:tcPr>
          <w:p w14:paraId="4A0D9B06" w14:textId="7A9C1D28" w:rsidR="00A20407" w:rsidRPr="006708F9" w:rsidRDefault="00A20407" w:rsidP="00806712">
            <w:pPr>
              <w:autoSpaceDE w:val="0"/>
              <w:autoSpaceDN w:val="0"/>
              <w:adjustRightInd w:val="0"/>
              <w:spacing w:before="120" w:after="40" w:line="360" w:lineRule="auto"/>
              <w:ind w:left="284"/>
              <w:jc w:val="both"/>
              <w:rPr>
                <w:rFonts w:ascii="Times New Roman" w:hAnsi="Times New Roman" w:cs="Times New Roman"/>
                <w:b/>
                <w:sz w:val="20"/>
                <w:szCs w:val="20"/>
              </w:rPr>
            </w:pPr>
          </w:p>
        </w:tc>
        <w:tc>
          <w:tcPr>
            <w:tcW w:w="3685" w:type="dxa"/>
            <w:tcBorders>
              <w:top w:val="nil"/>
              <w:bottom w:val="single" w:sz="4" w:space="0" w:color="auto"/>
            </w:tcBorders>
          </w:tcPr>
          <w:p w14:paraId="070115FE" w14:textId="066283D1" w:rsidR="00A20407" w:rsidRPr="006708F9" w:rsidRDefault="00A20407" w:rsidP="00806712">
            <w:pPr>
              <w:autoSpaceDE w:val="0"/>
              <w:autoSpaceDN w:val="0"/>
              <w:adjustRightInd w:val="0"/>
              <w:spacing w:before="120" w:after="40" w:line="360" w:lineRule="auto"/>
              <w:ind w:left="284"/>
              <w:jc w:val="both"/>
              <w:rPr>
                <w:rFonts w:ascii="Times New Roman" w:hAnsi="Times New Roman" w:cs="Times New Roman"/>
                <w:b/>
                <w:sz w:val="20"/>
                <w:szCs w:val="20"/>
              </w:rPr>
            </w:pPr>
            <w:r w:rsidRPr="006708F9">
              <w:rPr>
                <w:rFonts w:ascii="Times New Roman" w:hAnsi="Times New Roman" w:cs="Times New Roman"/>
                <w:b/>
                <w:sz w:val="20"/>
                <w:szCs w:val="20"/>
              </w:rPr>
              <w:t>Ortalama</w:t>
            </w:r>
            <w:r w:rsidR="00806712" w:rsidRPr="006708F9">
              <w:rPr>
                <w:rFonts w:ascii="Times New Roman" w:hAnsi="Times New Roman" w:cs="Times New Roman"/>
                <w:b/>
                <w:sz w:val="20"/>
                <w:szCs w:val="20"/>
              </w:rPr>
              <w:t xml:space="preserve"> </w:t>
            </w:r>
            <w:r w:rsidRPr="006708F9">
              <w:rPr>
                <w:rFonts w:ascii="Times New Roman" w:hAnsi="Times New Roman" w:cs="Times New Roman"/>
                <w:b/>
                <w:sz w:val="20"/>
                <w:szCs w:val="20"/>
              </w:rPr>
              <w:t>ASOY</w:t>
            </w:r>
            <w:r w:rsidR="00806712" w:rsidRPr="006708F9">
              <w:rPr>
                <w:rFonts w:ascii="Times New Roman" w:hAnsi="Times New Roman" w:cs="Times New Roman"/>
                <w:b/>
                <w:sz w:val="20"/>
                <w:szCs w:val="20"/>
              </w:rPr>
              <w:t xml:space="preserve"> </w:t>
            </w:r>
            <w:r w:rsidRPr="006708F9">
              <w:rPr>
                <w:rFonts w:ascii="Times New Roman" w:hAnsi="Times New Roman" w:cs="Times New Roman"/>
                <w:b/>
                <w:sz w:val="20"/>
                <w:szCs w:val="20"/>
              </w:rPr>
              <w:t>Puanı</w:t>
            </w:r>
            <w:r w:rsidR="00806712" w:rsidRPr="006708F9">
              <w:rPr>
                <w:rFonts w:ascii="Times New Roman" w:hAnsi="Times New Roman" w:cs="Times New Roman"/>
                <w:b/>
                <w:sz w:val="20"/>
                <w:szCs w:val="20"/>
              </w:rPr>
              <w:t xml:space="preserve"> </w:t>
            </w:r>
            <w:r w:rsidRPr="006708F9">
              <w:rPr>
                <w:rFonts w:ascii="Times New Roman" w:eastAsia="Times New Roman" w:hAnsi="Times New Roman" w:cs="Times New Roman"/>
                <w:b/>
                <w:sz w:val="20"/>
                <w:szCs w:val="20"/>
              </w:rPr>
              <w:t>±</w:t>
            </w:r>
            <w:r w:rsidR="00806712" w:rsidRPr="006708F9">
              <w:rPr>
                <w:rFonts w:ascii="Times New Roman" w:eastAsia="Times New Roman" w:hAnsi="Times New Roman" w:cs="Times New Roman"/>
                <w:b/>
                <w:sz w:val="20"/>
                <w:szCs w:val="20"/>
              </w:rPr>
              <w:t xml:space="preserve"> </w:t>
            </w:r>
            <w:r w:rsidRPr="006708F9">
              <w:rPr>
                <w:rFonts w:ascii="Times New Roman" w:hAnsi="Times New Roman" w:cs="Times New Roman"/>
                <w:b/>
                <w:sz w:val="20"/>
                <w:szCs w:val="20"/>
              </w:rPr>
              <w:t>SS</w:t>
            </w:r>
          </w:p>
        </w:tc>
        <w:tc>
          <w:tcPr>
            <w:tcW w:w="2095" w:type="dxa"/>
            <w:tcBorders>
              <w:top w:val="nil"/>
              <w:bottom w:val="single" w:sz="4" w:space="0" w:color="auto"/>
            </w:tcBorders>
          </w:tcPr>
          <w:p w14:paraId="4FB55876" w14:textId="05466025"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b/>
                <w:sz w:val="20"/>
                <w:szCs w:val="20"/>
              </w:rPr>
            </w:pPr>
            <w:r w:rsidRPr="006708F9">
              <w:rPr>
                <w:rFonts w:ascii="Times New Roman" w:hAnsi="Times New Roman" w:cs="Times New Roman"/>
                <w:b/>
                <w:sz w:val="20"/>
                <w:szCs w:val="20"/>
              </w:rPr>
              <w:t xml:space="preserve"> </w:t>
            </w:r>
            <w:proofErr w:type="gramStart"/>
            <w:r w:rsidRPr="006708F9">
              <w:rPr>
                <w:rFonts w:ascii="Times New Roman" w:hAnsi="Times New Roman" w:cs="Times New Roman"/>
                <w:b/>
                <w:sz w:val="20"/>
                <w:szCs w:val="20"/>
              </w:rPr>
              <w:t>p</w:t>
            </w:r>
            <w:proofErr w:type="gramEnd"/>
            <w:r w:rsidRPr="006708F9">
              <w:rPr>
                <w:rFonts w:ascii="Times New Roman" w:hAnsi="Times New Roman" w:cs="Times New Roman"/>
                <w:b/>
                <w:sz w:val="20"/>
                <w:szCs w:val="20"/>
              </w:rPr>
              <w:t xml:space="preserve"> </w:t>
            </w:r>
          </w:p>
        </w:tc>
      </w:tr>
      <w:tr w:rsidR="00AD6B08" w:rsidRPr="006708F9" w14:paraId="7CD68580" w14:textId="77777777" w:rsidTr="00806712">
        <w:trPr>
          <w:gridAfter w:val="1"/>
          <w:wAfter w:w="31" w:type="dxa"/>
          <w:jc w:val="center"/>
        </w:trPr>
        <w:tc>
          <w:tcPr>
            <w:tcW w:w="3261" w:type="dxa"/>
            <w:tcBorders>
              <w:top w:val="single" w:sz="4" w:space="0" w:color="auto"/>
              <w:bottom w:val="nil"/>
            </w:tcBorders>
          </w:tcPr>
          <w:p w14:paraId="1CC6918F" w14:textId="1172AE9C"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b/>
                <w:sz w:val="20"/>
                <w:szCs w:val="20"/>
              </w:rPr>
            </w:pPr>
            <w:r w:rsidRPr="006708F9">
              <w:rPr>
                <w:rFonts w:ascii="Times New Roman" w:hAnsi="Times New Roman" w:cs="Times New Roman"/>
                <w:b/>
                <w:sz w:val="20"/>
                <w:szCs w:val="20"/>
              </w:rPr>
              <w:t>Görme</w:t>
            </w:r>
            <w:r w:rsidR="00806712" w:rsidRPr="006708F9">
              <w:rPr>
                <w:rFonts w:ascii="Times New Roman" w:hAnsi="Times New Roman" w:cs="Times New Roman"/>
                <w:b/>
                <w:sz w:val="20"/>
                <w:szCs w:val="20"/>
              </w:rPr>
              <w:t xml:space="preserve"> </w:t>
            </w:r>
            <w:r w:rsidRPr="006708F9">
              <w:rPr>
                <w:rFonts w:ascii="Times New Roman" w:hAnsi="Times New Roman" w:cs="Times New Roman"/>
                <w:b/>
                <w:sz w:val="20"/>
                <w:szCs w:val="20"/>
              </w:rPr>
              <w:t>sorunu</w:t>
            </w:r>
          </w:p>
          <w:p w14:paraId="08CAD22D"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Var</w:t>
            </w:r>
          </w:p>
          <w:p w14:paraId="67EDB6CD"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 xml:space="preserve"> Yok</w:t>
            </w:r>
          </w:p>
        </w:tc>
        <w:tc>
          <w:tcPr>
            <w:tcW w:w="3685" w:type="dxa"/>
            <w:tcBorders>
              <w:top w:val="single" w:sz="4" w:space="0" w:color="auto"/>
              <w:bottom w:val="nil"/>
            </w:tcBorders>
          </w:tcPr>
          <w:p w14:paraId="258AC7FE"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p>
          <w:p w14:paraId="582715DE"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30,3±5,5</w:t>
            </w:r>
          </w:p>
          <w:p w14:paraId="6E7EC122"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28,4±6,6</w:t>
            </w:r>
          </w:p>
        </w:tc>
        <w:tc>
          <w:tcPr>
            <w:tcW w:w="2095" w:type="dxa"/>
            <w:tcBorders>
              <w:top w:val="single" w:sz="4" w:space="0" w:color="auto"/>
              <w:bottom w:val="nil"/>
            </w:tcBorders>
          </w:tcPr>
          <w:p w14:paraId="0FC42D3D"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p>
          <w:p w14:paraId="7408489C"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&lt;0,001</w:t>
            </w:r>
          </w:p>
        </w:tc>
      </w:tr>
      <w:tr w:rsidR="00AD6B08" w:rsidRPr="006708F9" w14:paraId="228B888C" w14:textId="77777777" w:rsidTr="00806712">
        <w:trPr>
          <w:gridAfter w:val="1"/>
          <w:wAfter w:w="31" w:type="dxa"/>
          <w:jc w:val="center"/>
        </w:trPr>
        <w:tc>
          <w:tcPr>
            <w:tcW w:w="3261" w:type="dxa"/>
            <w:tcBorders>
              <w:top w:val="nil"/>
              <w:bottom w:val="nil"/>
            </w:tcBorders>
          </w:tcPr>
          <w:p w14:paraId="4CCC7104"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b/>
                <w:sz w:val="20"/>
                <w:szCs w:val="20"/>
              </w:rPr>
            </w:pPr>
            <w:r w:rsidRPr="006708F9">
              <w:rPr>
                <w:rFonts w:ascii="Times New Roman" w:hAnsi="Times New Roman" w:cs="Times New Roman"/>
                <w:b/>
                <w:sz w:val="20"/>
                <w:szCs w:val="20"/>
              </w:rPr>
              <w:t>İşitme sorunu</w:t>
            </w:r>
          </w:p>
          <w:p w14:paraId="5A18877C"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Var</w:t>
            </w:r>
          </w:p>
          <w:p w14:paraId="7A128280"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Yok</w:t>
            </w:r>
          </w:p>
        </w:tc>
        <w:tc>
          <w:tcPr>
            <w:tcW w:w="3685" w:type="dxa"/>
            <w:tcBorders>
              <w:top w:val="nil"/>
              <w:bottom w:val="nil"/>
            </w:tcBorders>
          </w:tcPr>
          <w:p w14:paraId="33255C44"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p>
          <w:p w14:paraId="3B51689B"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30,3±5,5</w:t>
            </w:r>
          </w:p>
          <w:p w14:paraId="3D26DC39"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28,1±7,5</w:t>
            </w:r>
          </w:p>
        </w:tc>
        <w:tc>
          <w:tcPr>
            <w:tcW w:w="2095" w:type="dxa"/>
            <w:tcBorders>
              <w:top w:val="nil"/>
              <w:bottom w:val="nil"/>
            </w:tcBorders>
          </w:tcPr>
          <w:p w14:paraId="16DB4F5A"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p>
          <w:p w14:paraId="767FDE99" w14:textId="77777777" w:rsidR="00A20407" w:rsidRPr="006708F9" w:rsidRDefault="00A20407"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&lt;0,01</w:t>
            </w:r>
          </w:p>
        </w:tc>
      </w:tr>
      <w:tr w:rsidR="00AD6B08" w:rsidRPr="006708F9" w14:paraId="7B19D5CB" w14:textId="77777777" w:rsidTr="00F73282">
        <w:trPr>
          <w:jc w:val="center"/>
        </w:trPr>
        <w:tc>
          <w:tcPr>
            <w:tcW w:w="3261" w:type="dxa"/>
            <w:tcBorders>
              <w:top w:val="nil"/>
              <w:bottom w:val="nil"/>
            </w:tcBorders>
          </w:tcPr>
          <w:p w14:paraId="1F4858D6" w14:textId="77777777" w:rsidR="00806712" w:rsidRPr="006708F9" w:rsidRDefault="00806712" w:rsidP="00B55AE6">
            <w:pPr>
              <w:autoSpaceDE w:val="0"/>
              <w:autoSpaceDN w:val="0"/>
              <w:adjustRightInd w:val="0"/>
              <w:spacing w:before="120" w:after="40" w:line="360" w:lineRule="auto"/>
              <w:ind w:left="284" w:firstLine="919"/>
              <w:jc w:val="both"/>
              <w:rPr>
                <w:rFonts w:ascii="Times New Roman" w:hAnsi="Times New Roman" w:cs="Times New Roman"/>
                <w:b/>
                <w:sz w:val="20"/>
                <w:szCs w:val="20"/>
              </w:rPr>
            </w:pPr>
            <w:r w:rsidRPr="006708F9">
              <w:rPr>
                <w:rFonts w:ascii="Times New Roman" w:hAnsi="Times New Roman" w:cs="Times New Roman"/>
                <w:b/>
                <w:sz w:val="20"/>
                <w:szCs w:val="20"/>
              </w:rPr>
              <w:t>Bilgi</w:t>
            </w:r>
          </w:p>
          <w:p w14:paraId="3584BDD1" w14:textId="77777777" w:rsidR="00806712" w:rsidRPr="006708F9" w:rsidRDefault="00806712"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Düşük</w:t>
            </w:r>
          </w:p>
          <w:p w14:paraId="4072DDFB" w14:textId="77777777" w:rsidR="00806712" w:rsidRPr="006708F9" w:rsidRDefault="00806712"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Yüksek</w:t>
            </w:r>
          </w:p>
        </w:tc>
        <w:tc>
          <w:tcPr>
            <w:tcW w:w="3685" w:type="dxa"/>
            <w:tcBorders>
              <w:top w:val="nil"/>
              <w:bottom w:val="nil"/>
            </w:tcBorders>
          </w:tcPr>
          <w:p w14:paraId="7B765919" w14:textId="77777777" w:rsidR="00806712" w:rsidRPr="006708F9" w:rsidRDefault="00806712"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p>
          <w:p w14:paraId="0645041B" w14:textId="77777777" w:rsidR="00806712" w:rsidRPr="006708F9" w:rsidRDefault="00806712"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27,4±6,5</w:t>
            </w:r>
          </w:p>
          <w:p w14:paraId="20BB2234" w14:textId="77777777" w:rsidR="00806712" w:rsidRPr="006708F9" w:rsidRDefault="00806712"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29,8±7,4</w:t>
            </w:r>
          </w:p>
        </w:tc>
        <w:tc>
          <w:tcPr>
            <w:tcW w:w="2126" w:type="dxa"/>
            <w:gridSpan w:val="2"/>
            <w:tcBorders>
              <w:top w:val="nil"/>
              <w:bottom w:val="nil"/>
            </w:tcBorders>
          </w:tcPr>
          <w:p w14:paraId="461BE6AD" w14:textId="77777777" w:rsidR="00806712" w:rsidRPr="006708F9" w:rsidRDefault="00806712"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p>
          <w:p w14:paraId="376D671F" w14:textId="77777777" w:rsidR="00806712" w:rsidRPr="006708F9" w:rsidRDefault="00806712"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&lt;0,05</w:t>
            </w:r>
          </w:p>
        </w:tc>
      </w:tr>
      <w:tr w:rsidR="00AD6B08" w:rsidRPr="006708F9" w14:paraId="6BC5CA9C" w14:textId="77777777" w:rsidTr="00F73282">
        <w:trPr>
          <w:jc w:val="center"/>
        </w:trPr>
        <w:tc>
          <w:tcPr>
            <w:tcW w:w="3261" w:type="dxa"/>
            <w:tcBorders>
              <w:top w:val="nil"/>
            </w:tcBorders>
          </w:tcPr>
          <w:p w14:paraId="292BBC2B" w14:textId="77777777" w:rsidR="00806712" w:rsidRPr="006708F9" w:rsidRDefault="00806712" w:rsidP="00B55AE6">
            <w:pPr>
              <w:autoSpaceDE w:val="0"/>
              <w:autoSpaceDN w:val="0"/>
              <w:adjustRightInd w:val="0"/>
              <w:spacing w:before="120" w:after="40" w:line="360" w:lineRule="auto"/>
              <w:ind w:left="284" w:firstLine="919"/>
              <w:jc w:val="both"/>
              <w:rPr>
                <w:rFonts w:ascii="Times New Roman" w:hAnsi="Times New Roman" w:cs="Times New Roman"/>
                <w:b/>
                <w:sz w:val="20"/>
                <w:szCs w:val="20"/>
              </w:rPr>
            </w:pPr>
            <w:r w:rsidRPr="006708F9">
              <w:rPr>
                <w:rFonts w:ascii="Times New Roman" w:hAnsi="Times New Roman" w:cs="Times New Roman"/>
                <w:b/>
                <w:sz w:val="20"/>
                <w:szCs w:val="20"/>
              </w:rPr>
              <w:t>Motivasyon</w:t>
            </w:r>
          </w:p>
          <w:p w14:paraId="0DDE74FF" w14:textId="77777777" w:rsidR="00806712" w:rsidRPr="006708F9" w:rsidRDefault="00806712"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Düşük</w:t>
            </w:r>
          </w:p>
          <w:p w14:paraId="2A3B1708" w14:textId="77777777" w:rsidR="00806712" w:rsidRPr="006708F9" w:rsidRDefault="00806712"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Yüksek</w:t>
            </w:r>
          </w:p>
        </w:tc>
        <w:tc>
          <w:tcPr>
            <w:tcW w:w="3685" w:type="dxa"/>
            <w:tcBorders>
              <w:top w:val="nil"/>
            </w:tcBorders>
          </w:tcPr>
          <w:p w14:paraId="7C1C9C5B" w14:textId="77777777" w:rsidR="00806712" w:rsidRPr="006708F9" w:rsidRDefault="00806712"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p>
          <w:p w14:paraId="70A74B96" w14:textId="77777777" w:rsidR="00806712" w:rsidRPr="006708F9" w:rsidRDefault="00806712"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27,6±6,5</w:t>
            </w:r>
          </w:p>
          <w:p w14:paraId="5D0BB57F" w14:textId="77777777" w:rsidR="00806712" w:rsidRPr="006708F9" w:rsidRDefault="00806712"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30,6±7,67</w:t>
            </w:r>
          </w:p>
        </w:tc>
        <w:tc>
          <w:tcPr>
            <w:tcW w:w="2126" w:type="dxa"/>
            <w:gridSpan w:val="2"/>
            <w:tcBorders>
              <w:top w:val="nil"/>
            </w:tcBorders>
          </w:tcPr>
          <w:p w14:paraId="253EBAA8" w14:textId="77777777" w:rsidR="00806712" w:rsidRPr="006708F9" w:rsidRDefault="00806712"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p>
          <w:p w14:paraId="728B799F" w14:textId="77777777" w:rsidR="00806712" w:rsidRPr="006708F9" w:rsidRDefault="00806712" w:rsidP="00B55AE6">
            <w:pPr>
              <w:autoSpaceDE w:val="0"/>
              <w:autoSpaceDN w:val="0"/>
              <w:adjustRightInd w:val="0"/>
              <w:spacing w:before="120" w:after="40" w:line="360" w:lineRule="auto"/>
              <w:ind w:left="284" w:firstLine="919"/>
              <w:jc w:val="both"/>
              <w:rPr>
                <w:rFonts w:ascii="Times New Roman" w:hAnsi="Times New Roman" w:cs="Times New Roman"/>
                <w:sz w:val="20"/>
                <w:szCs w:val="20"/>
              </w:rPr>
            </w:pPr>
            <w:r w:rsidRPr="006708F9">
              <w:rPr>
                <w:rFonts w:ascii="Times New Roman" w:hAnsi="Times New Roman" w:cs="Times New Roman"/>
                <w:sz w:val="20"/>
                <w:szCs w:val="20"/>
              </w:rPr>
              <w:t>&lt;0,05</w:t>
            </w:r>
          </w:p>
        </w:tc>
      </w:tr>
    </w:tbl>
    <w:p w14:paraId="37257259" w14:textId="77777777" w:rsidR="006708F9" w:rsidRDefault="006708F9" w:rsidP="00B55AE6">
      <w:pPr>
        <w:pStyle w:val="metinii"/>
        <w:spacing w:before="120" w:after="360"/>
        <w:ind w:left="284" w:firstLine="919"/>
        <w:rPr>
          <w:rFonts w:cs="Times New Roman"/>
          <w:szCs w:val="24"/>
        </w:rPr>
      </w:pPr>
    </w:p>
    <w:p w14:paraId="36D6AB59" w14:textId="7286C44B" w:rsidR="00A20407" w:rsidRPr="005D1551" w:rsidRDefault="00A20407" w:rsidP="006708F9">
      <w:pPr>
        <w:pStyle w:val="metinii"/>
        <w:spacing w:before="120" w:after="0"/>
        <w:ind w:left="284" w:firstLine="919"/>
        <w:rPr>
          <w:rFonts w:cs="Times New Roman"/>
          <w:szCs w:val="24"/>
        </w:rPr>
      </w:pPr>
      <w:r w:rsidRPr="005D1551">
        <w:rPr>
          <w:rFonts w:cs="Times New Roman"/>
          <w:szCs w:val="24"/>
        </w:rPr>
        <w:t xml:space="preserve">Araştırmaya katılan </w:t>
      </w:r>
      <w:r w:rsidR="00501374" w:rsidRPr="005D1551">
        <w:rPr>
          <w:rFonts w:cs="Times New Roman"/>
          <w:szCs w:val="24"/>
        </w:rPr>
        <w:t>hastaların</w:t>
      </w:r>
      <w:r w:rsidRPr="005D1551">
        <w:rPr>
          <w:rFonts w:cs="Times New Roman"/>
          <w:szCs w:val="24"/>
        </w:rPr>
        <w:t xml:space="preserve"> ortalama ASOY puanları ve </w:t>
      </w:r>
      <w:r w:rsidR="00501374" w:rsidRPr="005D1551">
        <w:rPr>
          <w:rFonts w:cs="Times New Roman"/>
          <w:szCs w:val="24"/>
        </w:rPr>
        <w:t>MMÖ</w:t>
      </w:r>
      <w:r w:rsidRPr="005D1551">
        <w:rPr>
          <w:rFonts w:cs="Times New Roman"/>
          <w:szCs w:val="24"/>
        </w:rPr>
        <w:t xml:space="preserve"> puanları karşılaştırıldı</w:t>
      </w:r>
      <w:r w:rsidR="00501374" w:rsidRPr="005D1551">
        <w:rPr>
          <w:rFonts w:cs="Times New Roman"/>
          <w:szCs w:val="24"/>
        </w:rPr>
        <w:t>ğında; k</w:t>
      </w:r>
      <w:r w:rsidRPr="005D1551">
        <w:rPr>
          <w:rFonts w:cs="Times New Roman"/>
          <w:szCs w:val="24"/>
        </w:rPr>
        <w:t xml:space="preserve">ronik hastalığı olan bireylerin ASOY puanları ile </w:t>
      </w:r>
      <w:r w:rsidR="00501374" w:rsidRPr="005D1551">
        <w:rPr>
          <w:rFonts w:cs="Times New Roman"/>
          <w:szCs w:val="24"/>
        </w:rPr>
        <w:t>MMÖ</w:t>
      </w:r>
      <w:r w:rsidRPr="005D1551">
        <w:rPr>
          <w:rFonts w:cs="Times New Roman"/>
          <w:szCs w:val="24"/>
        </w:rPr>
        <w:t xml:space="preserve"> arasında pozitif yönde korelasyon bulunmuştur (</w:t>
      </w:r>
      <w:proofErr w:type="spellStart"/>
      <w:r w:rsidRPr="005D1551">
        <w:rPr>
          <w:rFonts w:cs="Times New Roman"/>
          <w:szCs w:val="24"/>
        </w:rPr>
        <w:t>Pearson</w:t>
      </w:r>
      <w:proofErr w:type="spellEnd"/>
      <w:r w:rsidRPr="005D1551">
        <w:rPr>
          <w:rFonts w:cs="Times New Roman"/>
          <w:szCs w:val="24"/>
        </w:rPr>
        <w:t xml:space="preserve"> korelasyon değeri</w:t>
      </w:r>
      <w:r w:rsidR="00A27A89" w:rsidRPr="005D1551">
        <w:rPr>
          <w:rFonts w:cs="Times New Roman"/>
          <w:szCs w:val="24"/>
        </w:rPr>
        <w:t xml:space="preserve"> (</w:t>
      </w:r>
      <w:proofErr w:type="spellStart"/>
      <w:r w:rsidR="00A27A89" w:rsidRPr="005D1551">
        <w:rPr>
          <w:rFonts w:cs="Times New Roman"/>
          <w:szCs w:val="24"/>
        </w:rPr>
        <w:t>pk</w:t>
      </w:r>
      <w:proofErr w:type="spellEnd"/>
      <w:r w:rsidR="00A27A89" w:rsidRPr="005D1551">
        <w:rPr>
          <w:rFonts w:cs="Times New Roman"/>
          <w:szCs w:val="24"/>
        </w:rPr>
        <w:t xml:space="preserve">) </w:t>
      </w:r>
      <w:r w:rsidRPr="005D1551">
        <w:rPr>
          <w:rFonts w:cs="Times New Roman"/>
          <w:szCs w:val="24"/>
        </w:rPr>
        <w:t>=0,266, p&lt;0,01).</w:t>
      </w:r>
    </w:p>
    <w:p w14:paraId="4F5665D7" w14:textId="149BE380" w:rsidR="00A20407" w:rsidRPr="005D1551" w:rsidRDefault="00A20407" w:rsidP="006708F9">
      <w:pPr>
        <w:pStyle w:val="metinii"/>
        <w:spacing w:before="120" w:after="0"/>
        <w:ind w:left="284" w:firstLine="919"/>
        <w:rPr>
          <w:rFonts w:cs="Times New Roman"/>
          <w:szCs w:val="24"/>
        </w:rPr>
      </w:pPr>
      <w:r w:rsidRPr="005D1551">
        <w:rPr>
          <w:rFonts w:cs="Times New Roman"/>
          <w:szCs w:val="24"/>
        </w:rPr>
        <w:t>Kronik hastalığı olan bireylerin ASOY puanları ile SF-12’nin 8 alt boyutu arasında genel sağlık algısı (</w:t>
      </w:r>
      <w:proofErr w:type="spellStart"/>
      <w:r w:rsidR="00A27A89" w:rsidRPr="005D1551">
        <w:rPr>
          <w:rFonts w:cs="Times New Roman"/>
          <w:szCs w:val="24"/>
        </w:rPr>
        <w:t>pk</w:t>
      </w:r>
      <w:proofErr w:type="spellEnd"/>
      <w:r w:rsidRPr="005D1551">
        <w:rPr>
          <w:rFonts w:cs="Times New Roman"/>
          <w:szCs w:val="24"/>
        </w:rPr>
        <w:t>=0,555), fiziksel fonksiyon (</w:t>
      </w:r>
      <w:proofErr w:type="spellStart"/>
      <w:r w:rsidR="00A27A89" w:rsidRPr="005D1551">
        <w:rPr>
          <w:rFonts w:cs="Times New Roman"/>
          <w:szCs w:val="24"/>
        </w:rPr>
        <w:t>pk</w:t>
      </w:r>
      <w:proofErr w:type="spellEnd"/>
      <w:r w:rsidRPr="005D1551">
        <w:rPr>
          <w:rFonts w:cs="Times New Roman"/>
          <w:szCs w:val="24"/>
        </w:rPr>
        <w:t>=0,329), fiziksel rol (</w:t>
      </w:r>
      <w:proofErr w:type="spellStart"/>
      <w:r w:rsidR="00A27A89" w:rsidRPr="005D1551">
        <w:rPr>
          <w:rFonts w:cs="Times New Roman"/>
          <w:szCs w:val="24"/>
        </w:rPr>
        <w:t>pk</w:t>
      </w:r>
      <w:proofErr w:type="spellEnd"/>
      <w:r w:rsidRPr="005D1551">
        <w:rPr>
          <w:rFonts w:cs="Times New Roman"/>
          <w:szCs w:val="24"/>
        </w:rPr>
        <w:t xml:space="preserve">=0,376), </w:t>
      </w:r>
      <w:proofErr w:type="spellStart"/>
      <w:r w:rsidRPr="005D1551">
        <w:rPr>
          <w:rFonts w:cs="Times New Roman"/>
          <w:szCs w:val="24"/>
        </w:rPr>
        <w:t>emosyonel</w:t>
      </w:r>
      <w:proofErr w:type="spellEnd"/>
      <w:r w:rsidRPr="005D1551">
        <w:rPr>
          <w:rFonts w:cs="Times New Roman"/>
          <w:szCs w:val="24"/>
        </w:rPr>
        <w:t xml:space="preserve"> rol (</w:t>
      </w:r>
      <w:proofErr w:type="spellStart"/>
      <w:r w:rsidR="00A27A89" w:rsidRPr="005D1551">
        <w:rPr>
          <w:rFonts w:cs="Times New Roman"/>
          <w:szCs w:val="24"/>
        </w:rPr>
        <w:t>pk</w:t>
      </w:r>
      <w:proofErr w:type="spellEnd"/>
      <w:r w:rsidRPr="005D1551">
        <w:rPr>
          <w:rFonts w:cs="Times New Roman"/>
          <w:szCs w:val="24"/>
        </w:rPr>
        <w:t>=0,396), ağrı (</w:t>
      </w:r>
      <w:proofErr w:type="spellStart"/>
      <w:r w:rsidR="00A27A89" w:rsidRPr="005D1551">
        <w:rPr>
          <w:rFonts w:cs="Times New Roman"/>
          <w:szCs w:val="24"/>
        </w:rPr>
        <w:t>pk</w:t>
      </w:r>
      <w:proofErr w:type="spellEnd"/>
      <w:r w:rsidRPr="005D1551">
        <w:rPr>
          <w:rFonts w:cs="Times New Roman"/>
          <w:szCs w:val="24"/>
        </w:rPr>
        <w:t>=0,446),</w:t>
      </w:r>
      <w:r w:rsidRPr="005D1551">
        <w:rPr>
          <w:rFonts w:eastAsia="Times New Roman" w:cs="Times New Roman"/>
          <w:szCs w:val="24"/>
        </w:rPr>
        <w:t xml:space="preserve"> sosyal işlevsellik </w:t>
      </w:r>
      <w:r w:rsidRPr="005D1551">
        <w:rPr>
          <w:rFonts w:cs="Times New Roman"/>
          <w:szCs w:val="24"/>
        </w:rPr>
        <w:t>(</w:t>
      </w:r>
      <w:proofErr w:type="spellStart"/>
      <w:r w:rsidR="00A27A89" w:rsidRPr="005D1551">
        <w:rPr>
          <w:rFonts w:cs="Times New Roman"/>
          <w:szCs w:val="24"/>
        </w:rPr>
        <w:t>pk</w:t>
      </w:r>
      <w:proofErr w:type="spellEnd"/>
      <w:r w:rsidRPr="005D1551">
        <w:rPr>
          <w:rFonts w:cs="Times New Roman"/>
          <w:szCs w:val="24"/>
        </w:rPr>
        <w:t>=0,362), ruhsal sağlık (</w:t>
      </w:r>
      <w:proofErr w:type="spellStart"/>
      <w:r w:rsidR="00A27A89" w:rsidRPr="005D1551">
        <w:rPr>
          <w:rFonts w:cs="Times New Roman"/>
          <w:szCs w:val="24"/>
        </w:rPr>
        <w:t>pk</w:t>
      </w:r>
      <w:proofErr w:type="spellEnd"/>
      <w:r w:rsidRPr="005D1551">
        <w:rPr>
          <w:rFonts w:cs="Times New Roman"/>
          <w:szCs w:val="24"/>
        </w:rPr>
        <w:t xml:space="preserve">=0,475) ve </w:t>
      </w:r>
      <w:proofErr w:type="spellStart"/>
      <w:r w:rsidRPr="005D1551">
        <w:rPr>
          <w:rFonts w:cs="Times New Roman"/>
          <w:szCs w:val="24"/>
        </w:rPr>
        <w:t>vitalite</w:t>
      </w:r>
      <w:proofErr w:type="spellEnd"/>
      <w:r w:rsidRPr="005D1551">
        <w:rPr>
          <w:rFonts w:cs="Times New Roman"/>
          <w:szCs w:val="24"/>
        </w:rPr>
        <w:t xml:space="preserve"> (</w:t>
      </w:r>
      <w:proofErr w:type="spellStart"/>
      <w:r w:rsidR="00A27A89" w:rsidRPr="005D1551">
        <w:rPr>
          <w:rFonts w:cs="Times New Roman"/>
          <w:szCs w:val="24"/>
        </w:rPr>
        <w:t>pk</w:t>
      </w:r>
      <w:proofErr w:type="spellEnd"/>
      <w:r w:rsidRPr="005D1551">
        <w:rPr>
          <w:rFonts w:cs="Times New Roman"/>
          <w:szCs w:val="24"/>
        </w:rPr>
        <w:t>=0,467) arasında anlamlı düzeyde pozitif korelasyon tespit edildi (p&lt;0,05).</w:t>
      </w:r>
    </w:p>
    <w:p w14:paraId="14AA6626" w14:textId="01FC83BC" w:rsidR="00A20407" w:rsidRPr="005D1551" w:rsidRDefault="00A20407" w:rsidP="006708F9">
      <w:pPr>
        <w:pStyle w:val="metinii"/>
        <w:spacing w:before="120" w:after="0"/>
        <w:ind w:left="284" w:firstLine="919"/>
        <w:rPr>
          <w:rFonts w:cs="Times New Roman"/>
          <w:b/>
          <w:szCs w:val="24"/>
        </w:rPr>
      </w:pPr>
      <w:r w:rsidRPr="005D1551">
        <w:rPr>
          <w:rFonts w:cs="Times New Roman"/>
          <w:b/>
          <w:szCs w:val="24"/>
        </w:rPr>
        <w:t>TARTIŞMA</w:t>
      </w:r>
    </w:p>
    <w:p w14:paraId="7C38EAD4" w14:textId="1D93C489" w:rsidR="00A20407" w:rsidRPr="005D1551" w:rsidRDefault="00A20407" w:rsidP="006708F9">
      <w:pPr>
        <w:spacing w:before="120" w:after="0" w:line="360" w:lineRule="auto"/>
        <w:ind w:left="284" w:firstLine="919"/>
        <w:jc w:val="both"/>
        <w:rPr>
          <w:rFonts w:ascii="Times New Roman" w:eastAsia="Times New Roman" w:hAnsi="Times New Roman" w:cs="Times New Roman"/>
          <w:sz w:val="24"/>
          <w:szCs w:val="24"/>
        </w:rPr>
      </w:pPr>
      <w:r w:rsidRPr="005D1551">
        <w:rPr>
          <w:rFonts w:ascii="Times New Roman" w:eastAsia="Times New Roman" w:hAnsi="Times New Roman" w:cs="Times New Roman"/>
          <w:sz w:val="24"/>
          <w:szCs w:val="24"/>
        </w:rPr>
        <w:t>Çalışmada katılımcıların ASOY puanları ile ruhsal sağlık durumları</w:t>
      </w:r>
      <w:r w:rsidR="00A27A89" w:rsidRPr="005D1551">
        <w:rPr>
          <w:rFonts w:ascii="Times New Roman" w:eastAsia="Times New Roman" w:hAnsi="Times New Roman" w:cs="Times New Roman"/>
          <w:sz w:val="24"/>
          <w:szCs w:val="24"/>
        </w:rPr>
        <w:t xml:space="preserve">, </w:t>
      </w:r>
      <w:r w:rsidRPr="005D1551">
        <w:rPr>
          <w:rFonts w:ascii="Times New Roman" w:eastAsia="Times New Roman" w:hAnsi="Times New Roman" w:cs="Times New Roman"/>
          <w:sz w:val="24"/>
          <w:szCs w:val="24"/>
        </w:rPr>
        <w:t>sosya</w:t>
      </w:r>
      <w:r w:rsidR="002B0FB8" w:rsidRPr="005D1551">
        <w:rPr>
          <w:rFonts w:ascii="Times New Roman" w:eastAsia="Times New Roman" w:hAnsi="Times New Roman" w:cs="Times New Roman"/>
          <w:sz w:val="24"/>
          <w:szCs w:val="24"/>
        </w:rPr>
        <w:t>l</w:t>
      </w:r>
      <w:r w:rsidRPr="005D1551">
        <w:rPr>
          <w:rFonts w:ascii="Times New Roman" w:eastAsia="Times New Roman" w:hAnsi="Times New Roman" w:cs="Times New Roman"/>
          <w:sz w:val="24"/>
          <w:szCs w:val="24"/>
        </w:rPr>
        <w:t xml:space="preserve"> işlevsel</w:t>
      </w:r>
      <w:r w:rsidR="00A27A89" w:rsidRPr="005D1551">
        <w:rPr>
          <w:rFonts w:ascii="Times New Roman" w:eastAsia="Times New Roman" w:hAnsi="Times New Roman" w:cs="Times New Roman"/>
          <w:sz w:val="24"/>
          <w:szCs w:val="24"/>
        </w:rPr>
        <w:t xml:space="preserve">lik, </w:t>
      </w:r>
      <w:proofErr w:type="spellStart"/>
      <w:r w:rsidRPr="005D1551">
        <w:rPr>
          <w:rFonts w:ascii="Times New Roman" w:eastAsia="Times New Roman" w:hAnsi="Times New Roman" w:cs="Times New Roman"/>
          <w:sz w:val="24"/>
          <w:szCs w:val="24"/>
        </w:rPr>
        <w:t>emosyonel</w:t>
      </w:r>
      <w:proofErr w:type="spellEnd"/>
      <w:r w:rsidRPr="005D1551">
        <w:rPr>
          <w:rFonts w:ascii="Times New Roman" w:eastAsia="Times New Roman" w:hAnsi="Times New Roman" w:cs="Times New Roman"/>
          <w:sz w:val="24"/>
          <w:szCs w:val="24"/>
        </w:rPr>
        <w:t xml:space="preserve"> rol</w:t>
      </w:r>
      <w:r w:rsidR="00A27A89" w:rsidRPr="005D1551">
        <w:rPr>
          <w:rFonts w:ascii="Times New Roman" w:eastAsia="Times New Roman" w:hAnsi="Times New Roman" w:cs="Times New Roman"/>
          <w:sz w:val="24"/>
          <w:szCs w:val="24"/>
        </w:rPr>
        <w:t xml:space="preserve">, </w:t>
      </w:r>
      <w:r w:rsidRPr="005D1551">
        <w:rPr>
          <w:rFonts w:ascii="Times New Roman" w:eastAsia="Times New Roman" w:hAnsi="Times New Roman" w:cs="Times New Roman"/>
          <w:sz w:val="24"/>
          <w:szCs w:val="24"/>
        </w:rPr>
        <w:t xml:space="preserve">fiziksel rolleri ve fiziksel fonksiyonları </w:t>
      </w:r>
      <w:r w:rsidR="00A27A89" w:rsidRPr="005D1551">
        <w:rPr>
          <w:rFonts w:ascii="Times New Roman" w:eastAsia="Times New Roman" w:hAnsi="Times New Roman" w:cs="Times New Roman"/>
          <w:sz w:val="24"/>
          <w:szCs w:val="24"/>
        </w:rPr>
        <w:t xml:space="preserve">ve </w:t>
      </w:r>
      <w:r w:rsidRPr="005D1551">
        <w:rPr>
          <w:rFonts w:ascii="Times New Roman" w:eastAsia="Times New Roman" w:hAnsi="Times New Roman" w:cs="Times New Roman"/>
          <w:sz w:val="24"/>
          <w:szCs w:val="24"/>
        </w:rPr>
        <w:t xml:space="preserve">genel sağlık algıları arasında pozitif yönde bir korelasyon tespit edilmiştir. </w:t>
      </w:r>
      <w:r w:rsidRPr="005D1551">
        <w:rPr>
          <w:rFonts w:ascii="Times New Roman" w:hAnsi="Times New Roman" w:cs="Times New Roman"/>
          <w:sz w:val="24"/>
          <w:szCs w:val="24"/>
        </w:rPr>
        <w:t>Kronik hastalığı olan yaşlı bireylerde sağlık okuryazarlığı üzerine sürdürülen araştırmalar neticesinde ise sağlığını iyi ve çok iyi algılayan, yaşam kalitesini iyi ve çok iyi olarak değerlendiren, sağlık hizmetlerine erişmede hiç zorluk yaşamayan bireylerin sağlık okuryazarlığı puanının da daha yüksek olduğu kanaatine varılmıştır (</w:t>
      </w:r>
      <w:r w:rsidR="0087344C">
        <w:rPr>
          <w:rFonts w:ascii="Times New Roman" w:hAnsi="Times New Roman" w:cs="Times New Roman"/>
          <w:sz w:val="24"/>
          <w:szCs w:val="24"/>
        </w:rPr>
        <w:t>14</w:t>
      </w:r>
      <w:r w:rsidRPr="005D1551">
        <w:rPr>
          <w:rFonts w:ascii="Times New Roman" w:hAnsi="Times New Roman" w:cs="Times New Roman"/>
          <w:sz w:val="24"/>
          <w:szCs w:val="24"/>
        </w:rPr>
        <w:t xml:space="preserve">). </w:t>
      </w:r>
      <w:r w:rsidRPr="005D1551">
        <w:rPr>
          <w:rFonts w:ascii="Times New Roman" w:eastAsia="Calibri" w:hAnsi="Times New Roman" w:cs="Times New Roman"/>
          <w:sz w:val="24"/>
          <w:szCs w:val="24"/>
        </w:rPr>
        <w:t>Buna göre kronik hastalığı olanların sağlık okuryazarlık düzeyleri arttıkça genel sağlık algılarında da iyileşme görüleceği söylenebilir.</w:t>
      </w:r>
    </w:p>
    <w:p w14:paraId="441F5479" w14:textId="241A176B" w:rsidR="00A20407" w:rsidRPr="005D1551" w:rsidRDefault="00A20407" w:rsidP="006708F9">
      <w:pPr>
        <w:spacing w:before="120" w:after="0" w:line="360" w:lineRule="auto"/>
        <w:ind w:left="284" w:firstLine="919"/>
        <w:jc w:val="both"/>
        <w:rPr>
          <w:rFonts w:ascii="Times New Roman" w:eastAsia="Times New Roman" w:hAnsi="Times New Roman" w:cs="Times New Roman"/>
          <w:sz w:val="24"/>
          <w:szCs w:val="24"/>
        </w:rPr>
      </w:pPr>
      <w:r w:rsidRPr="005D1551">
        <w:rPr>
          <w:rFonts w:ascii="Times New Roman" w:eastAsia="Times New Roman" w:hAnsi="Times New Roman" w:cs="Times New Roman"/>
          <w:sz w:val="24"/>
          <w:szCs w:val="24"/>
        </w:rPr>
        <w:t>ASOY ve yaş değişkeninde kişilerin yaşları yükseldikçe hastalıkları kabullenme ve kötüleştiğini algılamada güçlük çektikleri literatürde yaygın bir görüştür (</w:t>
      </w:r>
      <w:r w:rsidR="0087344C">
        <w:rPr>
          <w:rFonts w:ascii="Times New Roman" w:eastAsia="Times New Roman" w:hAnsi="Times New Roman" w:cs="Times New Roman"/>
          <w:sz w:val="24"/>
          <w:szCs w:val="24"/>
        </w:rPr>
        <w:t>7</w:t>
      </w:r>
      <w:r w:rsidRPr="005D1551">
        <w:rPr>
          <w:rFonts w:ascii="Times New Roman" w:eastAsia="Times New Roman" w:hAnsi="Times New Roman" w:cs="Times New Roman"/>
          <w:sz w:val="24"/>
          <w:szCs w:val="24"/>
        </w:rPr>
        <w:t>), (</w:t>
      </w:r>
      <w:r w:rsidR="0087344C">
        <w:rPr>
          <w:rFonts w:ascii="Times New Roman" w:eastAsia="Times New Roman" w:hAnsi="Times New Roman" w:cs="Times New Roman"/>
          <w:sz w:val="24"/>
          <w:szCs w:val="24"/>
        </w:rPr>
        <w:t>13</w:t>
      </w:r>
      <w:r w:rsidRPr="005D1551">
        <w:rPr>
          <w:rFonts w:ascii="Times New Roman" w:eastAsia="Times New Roman" w:hAnsi="Times New Roman" w:cs="Times New Roman"/>
          <w:sz w:val="24"/>
          <w:szCs w:val="24"/>
        </w:rPr>
        <w:t xml:space="preserve">). </w:t>
      </w:r>
      <w:r w:rsidRPr="005D1551">
        <w:rPr>
          <w:rFonts w:ascii="Times New Roman" w:eastAsia="Calibri" w:hAnsi="Times New Roman" w:cs="Times New Roman"/>
          <w:sz w:val="24"/>
          <w:szCs w:val="24"/>
        </w:rPr>
        <w:t>Kronik hastalığa sahip yaşlı bireylerde düşük okuryazarlık oranının etkili olduğu ve bundan dolayı bu bireylerin hastaneye yatış ve acile başvuru tutumlarının artış gösterdiği de konuyla ilgili diğer bir araştırmada gözlemlenmiştir (</w:t>
      </w:r>
      <w:r w:rsidR="0087344C">
        <w:rPr>
          <w:rFonts w:ascii="Times New Roman" w:eastAsia="Calibri" w:hAnsi="Times New Roman" w:cs="Times New Roman"/>
          <w:sz w:val="24"/>
          <w:szCs w:val="24"/>
        </w:rPr>
        <w:t>15</w:t>
      </w:r>
      <w:r w:rsidRPr="005D1551">
        <w:rPr>
          <w:rFonts w:ascii="Times New Roman" w:eastAsia="Calibri" w:hAnsi="Times New Roman" w:cs="Times New Roman"/>
          <w:sz w:val="24"/>
          <w:szCs w:val="24"/>
        </w:rPr>
        <w:t>).</w:t>
      </w:r>
      <w:r w:rsidRPr="005D1551">
        <w:rPr>
          <w:rFonts w:ascii="Times New Roman" w:eastAsia="Times New Roman" w:hAnsi="Times New Roman" w:cs="Times New Roman"/>
          <w:sz w:val="24"/>
          <w:szCs w:val="24"/>
        </w:rPr>
        <w:t xml:space="preserve"> Yapılan bir çalışmada 65 yaş üstü bireylerin en düşük seviyede sağlık okuryazarlığına sahip oldukları ifade edilmiştir (</w:t>
      </w:r>
      <w:r w:rsidR="0087344C">
        <w:rPr>
          <w:rFonts w:ascii="Times New Roman" w:eastAsia="Times New Roman" w:hAnsi="Times New Roman" w:cs="Times New Roman"/>
          <w:sz w:val="24"/>
          <w:szCs w:val="24"/>
        </w:rPr>
        <w:t>16</w:t>
      </w:r>
      <w:r w:rsidRPr="005D1551">
        <w:rPr>
          <w:rFonts w:ascii="Times New Roman" w:eastAsia="Times New Roman" w:hAnsi="Times New Roman" w:cs="Times New Roman"/>
          <w:sz w:val="24"/>
          <w:szCs w:val="24"/>
        </w:rPr>
        <w:t>),</w:t>
      </w:r>
      <w:r w:rsidR="00E141DE" w:rsidRPr="005D1551">
        <w:rPr>
          <w:rFonts w:ascii="Times New Roman" w:eastAsia="Times New Roman" w:hAnsi="Times New Roman" w:cs="Times New Roman"/>
          <w:sz w:val="24"/>
          <w:szCs w:val="24"/>
        </w:rPr>
        <w:t xml:space="preserve"> </w:t>
      </w:r>
      <w:r w:rsidRPr="005D1551">
        <w:rPr>
          <w:rFonts w:ascii="Times New Roman" w:eastAsia="Times New Roman" w:hAnsi="Times New Roman" w:cs="Times New Roman"/>
          <w:sz w:val="24"/>
          <w:szCs w:val="24"/>
        </w:rPr>
        <w:t>(17). Çalışmamızda da 65 yaş üstü bireylerde SOY düzeyi</w:t>
      </w:r>
      <w:r w:rsidR="00F61948" w:rsidRPr="005D1551">
        <w:rPr>
          <w:rFonts w:ascii="Times New Roman" w:eastAsia="Times New Roman" w:hAnsi="Times New Roman" w:cs="Times New Roman"/>
          <w:sz w:val="24"/>
          <w:szCs w:val="24"/>
        </w:rPr>
        <w:t xml:space="preserve">nin anlamlı derecede düştüğünü </w:t>
      </w:r>
      <w:r w:rsidR="00C35FB8" w:rsidRPr="005D1551">
        <w:rPr>
          <w:rFonts w:ascii="Times New Roman" w:eastAsia="Times New Roman" w:hAnsi="Times New Roman" w:cs="Times New Roman"/>
          <w:sz w:val="24"/>
          <w:szCs w:val="24"/>
        </w:rPr>
        <w:t>ve SOY düzeyinin arttıkça acil servise başvurma oranının azaldığını tespit ettik.</w:t>
      </w:r>
    </w:p>
    <w:p w14:paraId="00F86F3E" w14:textId="3A08B8D9" w:rsidR="00A20407" w:rsidRPr="005D1551" w:rsidRDefault="00A20407" w:rsidP="006708F9">
      <w:pPr>
        <w:spacing w:before="120" w:after="0" w:line="360" w:lineRule="auto"/>
        <w:ind w:left="284" w:firstLine="919"/>
        <w:jc w:val="both"/>
        <w:rPr>
          <w:rFonts w:ascii="Times New Roman" w:eastAsia="Calibri" w:hAnsi="Times New Roman" w:cs="Times New Roman"/>
          <w:sz w:val="24"/>
          <w:szCs w:val="24"/>
        </w:rPr>
      </w:pPr>
      <w:r w:rsidRPr="005D1551">
        <w:rPr>
          <w:rFonts w:ascii="Times New Roman" w:eastAsia="Calibri" w:hAnsi="Times New Roman" w:cs="Times New Roman"/>
          <w:sz w:val="24"/>
          <w:szCs w:val="24"/>
        </w:rPr>
        <w:t xml:space="preserve">Araştırmada katılımcıların ilaç kullanımındaki bilgi düzeylerini ölçmek amacıyla </w:t>
      </w:r>
      <w:proofErr w:type="spellStart"/>
      <w:r w:rsidR="001A14CA" w:rsidRPr="005D1551">
        <w:rPr>
          <w:rFonts w:ascii="Times New Roman" w:eastAsia="Calibri" w:hAnsi="Times New Roman" w:cs="Times New Roman"/>
          <w:sz w:val="24"/>
          <w:szCs w:val="24"/>
        </w:rPr>
        <w:t>MMÖ’den</w:t>
      </w:r>
      <w:proofErr w:type="spellEnd"/>
      <w:r w:rsidRPr="005D1551">
        <w:rPr>
          <w:rFonts w:ascii="Times New Roman" w:eastAsia="Calibri" w:hAnsi="Times New Roman" w:cs="Times New Roman"/>
          <w:sz w:val="24"/>
          <w:szCs w:val="24"/>
        </w:rPr>
        <w:t xml:space="preserve"> yararlanılmıştır</w:t>
      </w:r>
      <w:r w:rsidR="00E141DE" w:rsidRPr="005D1551">
        <w:rPr>
          <w:rFonts w:ascii="Times New Roman" w:eastAsia="Calibri" w:hAnsi="Times New Roman" w:cs="Times New Roman"/>
          <w:sz w:val="24"/>
          <w:szCs w:val="24"/>
        </w:rPr>
        <w:t>.</w:t>
      </w:r>
      <w:r w:rsidRPr="005D1551">
        <w:rPr>
          <w:rFonts w:ascii="Times New Roman" w:eastAsia="Calibri" w:hAnsi="Times New Roman" w:cs="Times New Roman"/>
          <w:sz w:val="24"/>
          <w:szCs w:val="24"/>
        </w:rPr>
        <w:t xml:space="preserve"> Araştırma sonunda bu ölçeğin ilaç kullanma alışkanlıkları hakkında yeterli bilgi vermesine rağmen kronik hastalıkların uzun süreli tedavileri sırasında ilaç kullanımının sürekliliği hakkında bilgi sağlanmasında yetersiz olduğu kanaatine varılmıştır. </w:t>
      </w:r>
      <w:r w:rsidRPr="005D1551">
        <w:rPr>
          <w:rFonts w:ascii="Times New Roman" w:eastAsiaTheme="minorEastAsia" w:hAnsi="Times New Roman" w:cs="Times New Roman"/>
          <w:sz w:val="24"/>
          <w:szCs w:val="24"/>
          <w:lang w:eastAsia="tr-TR"/>
        </w:rPr>
        <w:t xml:space="preserve">Ayrıca düşük sağlık okuryazarlığının daha az mamografi taramaları ve </w:t>
      </w:r>
      <w:proofErr w:type="spellStart"/>
      <w:r w:rsidRPr="005D1551">
        <w:rPr>
          <w:rFonts w:ascii="Times New Roman" w:eastAsiaTheme="minorEastAsia" w:hAnsi="Times New Roman" w:cs="Times New Roman"/>
          <w:sz w:val="24"/>
          <w:szCs w:val="24"/>
          <w:lang w:eastAsia="tr-TR"/>
        </w:rPr>
        <w:t>influenza</w:t>
      </w:r>
      <w:proofErr w:type="spellEnd"/>
      <w:r w:rsidRPr="005D1551">
        <w:rPr>
          <w:rFonts w:ascii="Times New Roman" w:eastAsiaTheme="minorEastAsia" w:hAnsi="Times New Roman" w:cs="Times New Roman"/>
          <w:sz w:val="24"/>
          <w:szCs w:val="24"/>
          <w:lang w:eastAsia="tr-TR"/>
        </w:rPr>
        <w:t xml:space="preserve"> </w:t>
      </w:r>
      <w:r w:rsidRPr="005D1551">
        <w:rPr>
          <w:rFonts w:ascii="Times New Roman" w:eastAsiaTheme="minorEastAsia" w:hAnsi="Times New Roman" w:cs="Times New Roman"/>
          <w:sz w:val="24"/>
          <w:szCs w:val="24"/>
          <w:lang w:eastAsia="tr-TR"/>
        </w:rPr>
        <w:lastRenderedPageBreak/>
        <w:t>aşısı, uygunsuz ilaç kullanımı ve ilaç etiketlerini anlayamama, acil servislere daha fazla başvuru ile ilişkili olduğu belirtilmektedir (</w:t>
      </w:r>
      <w:r w:rsidR="0087344C">
        <w:rPr>
          <w:rFonts w:ascii="Times New Roman" w:eastAsiaTheme="minorEastAsia" w:hAnsi="Times New Roman" w:cs="Times New Roman"/>
          <w:sz w:val="24"/>
          <w:szCs w:val="24"/>
          <w:lang w:eastAsia="tr-TR"/>
        </w:rPr>
        <w:t>18</w:t>
      </w:r>
      <w:r w:rsidRPr="005D1551">
        <w:rPr>
          <w:rFonts w:ascii="Times New Roman" w:eastAsiaTheme="minorEastAsia" w:hAnsi="Times New Roman" w:cs="Times New Roman"/>
          <w:sz w:val="24"/>
          <w:szCs w:val="24"/>
          <w:lang w:eastAsia="tr-TR"/>
        </w:rPr>
        <w:t xml:space="preserve">). Literatürde ilaç kullanımına ilişkin bulgularla mevcut bu çalışmada elde edilen </w:t>
      </w:r>
      <w:r w:rsidR="001A14CA" w:rsidRPr="005D1551">
        <w:rPr>
          <w:rFonts w:ascii="Times New Roman" w:eastAsiaTheme="minorEastAsia" w:hAnsi="Times New Roman" w:cs="Times New Roman"/>
          <w:sz w:val="24"/>
          <w:szCs w:val="24"/>
          <w:lang w:eastAsia="tr-TR"/>
        </w:rPr>
        <w:t>MMÖ</w:t>
      </w:r>
      <w:r w:rsidRPr="005D1551">
        <w:rPr>
          <w:rFonts w:ascii="Times New Roman" w:eastAsiaTheme="minorEastAsia" w:hAnsi="Times New Roman" w:cs="Times New Roman"/>
          <w:sz w:val="24"/>
          <w:szCs w:val="24"/>
          <w:lang w:eastAsia="tr-TR"/>
        </w:rPr>
        <w:t xml:space="preserve"> bilgi ve </w:t>
      </w:r>
      <w:r w:rsidR="001A14CA" w:rsidRPr="005D1551">
        <w:rPr>
          <w:rFonts w:ascii="Times New Roman" w:eastAsiaTheme="minorEastAsia" w:hAnsi="Times New Roman" w:cs="Times New Roman"/>
          <w:sz w:val="24"/>
          <w:szCs w:val="24"/>
          <w:lang w:eastAsia="tr-TR"/>
        </w:rPr>
        <w:t>MMÖ</w:t>
      </w:r>
      <w:r w:rsidRPr="005D1551">
        <w:rPr>
          <w:rFonts w:ascii="Times New Roman" w:eastAsiaTheme="minorEastAsia" w:hAnsi="Times New Roman" w:cs="Times New Roman"/>
          <w:sz w:val="24"/>
          <w:szCs w:val="24"/>
          <w:lang w:eastAsia="tr-TR"/>
        </w:rPr>
        <w:t xml:space="preserve"> motivasyon bulguları örtüşmektedir. Çalışmamızda kronik hastalığa sahip bireylerin sağlık okuryazarlık düzeyleriyle ilaç uyumu arasında yakın bir ilişki saptanmıştır</w:t>
      </w:r>
      <w:r w:rsidR="00E141DE" w:rsidRPr="005D1551">
        <w:rPr>
          <w:rFonts w:ascii="Times New Roman" w:eastAsiaTheme="minorEastAsia" w:hAnsi="Times New Roman" w:cs="Times New Roman"/>
          <w:sz w:val="24"/>
          <w:szCs w:val="24"/>
          <w:lang w:eastAsia="tr-TR"/>
        </w:rPr>
        <w:t>.</w:t>
      </w:r>
    </w:p>
    <w:p w14:paraId="31B51636" w14:textId="3D989F55" w:rsidR="00A20407" w:rsidRPr="005D1551" w:rsidRDefault="00A20407" w:rsidP="006708F9">
      <w:pPr>
        <w:spacing w:before="120" w:after="0" w:line="360" w:lineRule="auto"/>
        <w:ind w:left="284" w:firstLine="919"/>
        <w:jc w:val="both"/>
        <w:rPr>
          <w:rFonts w:ascii="Times New Roman" w:hAnsi="Times New Roman" w:cs="Times New Roman"/>
          <w:sz w:val="24"/>
          <w:szCs w:val="24"/>
        </w:rPr>
      </w:pPr>
      <w:r w:rsidRPr="005D1551">
        <w:rPr>
          <w:rFonts w:ascii="Times New Roman" w:hAnsi="Times New Roman" w:cs="Times New Roman"/>
          <w:sz w:val="24"/>
          <w:szCs w:val="24"/>
        </w:rPr>
        <w:t>Sağlık okuryazarlık düzeyi düşük kişilerin kronik hastalıklarda hastalığa ilişkin dönemleri etkin biçimde yönetme kabiliyetlerinin düşüklüğü sebebiyle acile gitme ve hastane yatış sürelerinin fazla olduğu ifade edilmektedir (</w:t>
      </w:r>
      <w:r w:rsidR="0087344C">
        <w:rPr>
          <w:rFonts w:ascii="Times New Roman" w:hAnsi="Times New Roman" w:cs="Times New Roman"/>
          <w:sz w:val="24"/>
          <w:szCs w:val="24"/>
        </w:rPr>
        <w:t>19</w:t>
      </w:r>
      <w:r w:rsidRPr="005D1551">
        <w:rPr>
          <w:rFonts w:ascii="Times New Roman" w:hAnsi="Times New Roman" w:cs="Times New Roman"/>
          <w:sz w:val="24"/>
          <w:szCs w:val="24"/>
        </w:rPr>
        <w:t>). Bir çalışmada ise bireylerin %10’u aç karnına ilaç almaları gerektiğini anlamamış, %26’sı bir sonraki randevu tarihini, %59’u ilaç alma sıklığını, %5’i ise standart onam formunu kavrayamadığı tespit edilmiştir (</w:t>
      </w:r>
      <w:r w:rsidR="0087344C">
        <w:rPr>
          <w:rFonts w:ascii="Times New Roman" w:hAnsi="Times New Roman" w:cs="Times New Roman"/>
          <w:sz w:val="24"/>
          <w:szCs w:val="24"/>
        </w:rPr>
        <w:t>20</w:t>
      </w:r>
      <w:r w:rsidRPr="005D1551">
        <w:rPr>
          <w:rFonts w:ascii="Times New Roman" w:hAnsi="Times New Roman" w:cs="Times New Roman"/>
          <w:sz w:val="24"/>
          <w:szCs w:val="24"/>
        </w:rPr>
        <w:t>). Tüm bu sonuçlar değerlendirildiğinde sağlık okuryazarlığının düşük olmasının hem bireye hem de ülkelere ciddi sorunlar getirdiği sonucuna varılmıştır (2</w:t>
      </w:r>
      <w:r w:rsidR="0087344C">
        <w:rPr>
          <w:rFonts w:ascii="Times New Roman" w:hAnsi="Times New Roman" w:cs="Times New Roman"/>
          <w:sz w:val="24"/>
          <w:szCs w:val="24"/>
        </w:rPr>
        <w:t>1</w:t>
      </w:r>
      <w:r w:rsidRPr="005D1551">
        <w:rPr>
          <w:rFonts w:ascii="Times New Roman" w:hAnsi="Times New Roman" w:cs="Times New Roman"/>
          <w:sz w:val="24"/>
          <w:szCs w:val="24"/>
        </w:rPr>
        <w:t>). Yapılan bir sistematik derleme çalışmasında ise bireylerin ilaç talimatları, onay formları, tıbbi terimler gibi sağlıkla ilgili terimleri okumakta zorlandığı, bunun nedenin ise çok fazla tıbbi terim kullanılması olduğu, ancak bireylerin anlamadıkları konuları sıklıkla sormaktan çekindikleri belirtilmiştir (</w:t>
      </w:r>
      <w:r w:rsidR="009B3BEC">
        <w:rPr>
          <w:rFonts w:ascii="Times New Roman" w:hAnsi="Times New Roman" w:cs="Times New Roman"/>
          <w:sz w:val="24"/>
          <w:szCs w:val="24"/>
        </w:rPr>
        <w:t>22</w:t>
      </w:r>
      <w:r w:rsidRPr="005D1551">
        <w:rPr>
          <w:rFonts w:ascii="Times New Roman" w:hAnsi="Times New Roman" w:cs="Times New Roman"/>
          <w:sz w:val="24"/>
          <w:szCs w:val="24"/>
        </w:rPr>
        <w:t>). Çalışmamızda da son bir yıl içinde acil başvurusu olan hastaların SOY düzeylerinin belirgin seviyede düşük olduğu görülmüştür. Bu durum sağlık okuryazarlık düzeyi ile acile başvuru arasında yakın ilişki olduğunu göstermektedir.</w:t>
      </w:r>
    </w:p>
    <w:p w14:paraId="0B21E93E" w14:textId="30723EEB" w:rsidR="00A20407" w:rsidRPr="005D1551" w:rsidRDefault="00A20407" w:rsidP="006708F9">
      <w:pPr>
        <w:spacing w:before="120" w:after="0" w:line="360" w:lineRule="auto"/>
        <w:ind w:left="284" w:firstLine="919"/>
        <w:jc w:val="both"/>
        <w:rPr>
          <w:rFonts w:ascii="Times New Roman" w:hAnsi="Times New Roman" w:cs="Times New Roman"/>
          <w:sz w:val="24"/>
          <w:szCs w:val="24"/>
        </w:rPr>
      </w:pPr>
      <w:r w:rsidRPr="005D1551">
        <w:rPr>
          <w:rFonts w:ascii="Times New Roman" w:hAnsi="Times New Roman" w:cs="Times New Roman"/>
          <w:sz w:val="24"/>
          <w:szCs w:val="24"/>
        </w:rPr>
        <w:t>Sağlık okuryazarlığı düzeyinin yaşlılarda, öğrenim düzeyi düşük olanlarda, yoksullarda, azınlıklarda ve yaşadığı ülkenin dilini iyi kullanamayanlarda daha düşük olduğu belirtilmektedir (</w:t>
      </w:r>
      <w:r w:rsidR="009B3BEC">
        <w:rPr>
          <w:rFonts w:ascii="Times New Roman" w:hAnsi="Times New Roman" w:cs="Times New Roman"/>
          <w:sz w:val="24"/>
          <w:szCs w:val="24"/>
        </w:rPr>
        <w:t>23</w:t>
      </w:r>
      <w:r w:rsidRPr="005D1551">
        <w:rPr>
          <w:rFonts w:ascii="Times New Roman" w:hAnsi="Times New Roman" w:cs="Times New Roman"/>
          <w:sz w:val="24"/>
          <w:szCs w:val="24"/>
        </w:rPr>
        <w:t>). Sağlık okuryazarlığına ilişkin yürütülen diğer çalışmalarda da düşük sağlık okuryazarlığı olan kişilerin daha fazla hastaneye yattıklarını ifade edilmektedir (</w:t>
      </w:r>
      <w:r w:rsidR="009B3BEC">
        <w:rPr>
          <w:rFonts w:ascii="Times New Roman" w:hAnsi="Times New Roman" w:cs="Times New Roman"/>
          <w:sz w:val="24"/>
          <w:szCs w:val="24"/>
        </w:rPr>
        <w:t>18</w:t>
      </w:r>
      <w:r w:rsidRPr="005D1551">
        <w:rPr>
          <w:rFonts w:ascii="Times New Roman" w:hAnsi="Times New Roman" w:cs="Times New Roman"/>
          <w:sz w:val="24"/>
          <w:szCs w:val="24"/>
        </w:rPr>
        <w:t>). Yeterli sağlık okuryazarlığına sahip bireylerin; yeterli sağlık bilgisine sahip, sağlık hizmetlerinden etkin yararlanan, yaşam kalitesinin ve sağlık hizmeti kalitesinin yükselmesine, sağlık hizmetleri maliyetinin azalmasına neden olurken; yetersiz sağlık okuryazarlığına sahip bireylerin; yetersiz sağlık bilgisine sahip olmalarından dolayı, hastalanma riskleri yüksek, tedavi yöntemlerini anlama düzeyleri düşük, hastaneye yatma sıklığı yüksek bireyler olduğu ve bundan dolayı sağlık hizmeti maliyetlerinin yükselmesine neden olduğu belirtilmektedir (</w:t>
      </w:r>
      <w:r w:rsidR="009B3BEC">
        <w:rPr>
          <w:rFonts w:ascii="Times New Roman" w:hAnsi="Times New Roman" w:cs="Times New Roman"/>
          <w:sz w:val="24"/>
          <w:szCs w:val="24"/>
        </w:rPr>
        <w:t>24</w:t>
      </w:r>
      <w:r w:rsidRPr="005D1551">
        <w:rPr>
          <w:rFonts w:ascii="Times New Roman" w:hAnsi="Times New Roman" w:cs="Times New Roman"/>
          <w:sz w:val="24"/>
          <w:szCs w:val="24"/>
        </w:rPr>
        <w:t>) (</w:t>
      </w:r>
      <w:r w:rsidR="009B3BEC">
        <w:rPr>
          <w:rFonts w:ascii="Times New Roman" w:hAnsi="Times New Roman" w:cs="Times New Roman"/>
          <w:sz w:val="24"/>
          <w:szCs w:val="24"/>
        </w:rPr>
        <w:t>25</w:t>
      </w:r>
      <w:r w:rsidRPr="005D1551">
        <w:rPr>
          <w:rFonts w:ascii="Times New Roman" w:hAnsi="Times New Roman" w:cs="Times New Roman"/>
          <w:sz w:val="24"/>
          <w:szCs w:val="24"/>
        </w:rPr>
        <w:t xml:space="preserve">). Fakat araştırmamızda ASOY ile hastaneye yatış arasında </w:t>
      </w:r>
      <w:r w:rsidRPr="005D1551">
        <w:rPr>
          <w:rFonts w:ascii="Times New Roman" w:eastAsia="Calibri" w:hAnsi="Times New Roman" w:cs="Times New Roman"/>
          <w:sz w:val="24"/>
          <w:szCs w:val="24"/>
        </w:rPr>
        <w:t>bir ilişki saptanmamıştır. Daha geniş örneklem grubunda yapılacak çalışmalarla bu konuda daha fazla veri elde edilebilecektir.</w:t>
      </w:r>
    </w:p>
    <w:p w14:paraId="51B99BD0" w14:textId="22EB9472" w:rsidR="00A20407" w:rsidRPr="005D1551" w:rsidRDefault="00A20407" w:rsidP="006708F9">
      <w:pPr>
        <w:spacing w:before="120" w:after="0" w:line="360" w:lineRule="auto"/>
        <w:ind w:left="284" w:firstLine="919"/>
        <w:jc w:val="both"/>
        <w:rPr>
          <w:rFonts w:ascii="Times New Roman" w:hAnsi="Times New Roman" w:cs="Times New Roman"/>
          <w:sz w:val="24"/>
          <w:szCs w:val="24"/>
        </w:rPr>
      </w:pPr>
      <w:r w:rsidRPr="005D1551">
        <w:rPr>
          <w:rFonts w:ascii="Times New Roman" w:hAnsi="Times New Roman" w:cs="Times New Roman"/>
          <w:sz w:val="24"/>
          <w:szCs w:val="24"/>
        </w:rPr>
        <w:t xml:space="preserve">Kronik hastalığa sahip bireylerin karmaşık ve ciddi yükler taşımaları sebebiyle hastalıklarının yönetiminde sağlık okuryazarlığının bireye olumlu yönde etki ettiği ifade </w:t>
      </w:r>
      <w:r w:rsidRPr="005D1551">
        <w:rPr>
          <w:rFonts w:ascii="Times New Roman" w:hAnsi="Times New Roman" w:cs="Times New Roman"/>
          <w:sz w:val="24"/>
          <w:szCs w:val="24"/>
        </w:rPr>
        <w:lastRenderedPageBreak/>
        <w:t>edilmektedir (</w:t>
      </w:r>
      <w:r w:rsidR="009B3BEC">
        <w:rPr>
          <w:rFonts w:ascii="Times New Roman" w:hAnsi="Times New Roman" w:cs="Times New Roman"/>
          <w:sz w:val="24"/>
          <w:szCs w:val="24"/>
        </w:rPr>
        <w:t>6</w:t>
      </w:r>
      <w:r w:rsidRPr="005D1551">
        <w:rPr>
          <w:rFonts w:ascii="Times New Roman" w:hAnsi="Times New Roman" w:cs="Times New Roman"/>
          <w:sz w:val="24"/>
          <w:szCs w:val="24"/>
        </w:rPr>
        <w:t>). Ayrıca yetersiz işlevsel sağlık okuryazarlığının hastaların kronik hastalıklar konusundaki eğitimlerine ciddi bir engel olduğu belirtilmektedir (</w:t>
      </w:r>
      <w:r w:rsidR="009B3BEC">
        <w:rPr>
          <w:rFonts w:ascii="Times New Roman" w:hAnsi="Times New Roman" w:cs="Times New Roman"/>
          <w:sz w:val="24"/>
          <w:szCs w:val="24"/>
        </w:rPr>
        <w:t>9</w:t>
      </w:r>
      <w:r w:rsidRPr="005D1551">
        <w:rPr>
          <w:rFonts w:ascii="Times New Roman" w:hAnsi="Times New Roman" w:cs="Times New Roman"/>
          <w:sz w:val="24"/>
          <w:szCs w:val="24"/>
        </w:rPr>
        <w:t xml:space="preserve">). Sağlık okuryazarlığı, hastaneye başvurma ve </w:t>
      </w:r>
      <w:proofErr w:type="spellStart"/>
      <w:r w:rsidRPr="005D1551">
        <w:rPr>
          <w:rFonts w:ascii="Times New Roman" w:hAnsi="Times New Roman" w:cs="Times New Roman"/>
          <w:sz w:val="24"/>
          <w:szCs w:val="24"/>
        </w:rPr>
        <w:t>mortalite</w:t>
      </w:r>
      <w:proofErr w:type="spellEnd"/>
      <w:r w:rsidRPr="005D1551">
        <w:rPr>
          <w:rFonts w:ascii="Times New Roman" w:hAnsi="Times New Roman" w:cs="Times New Roman"/>
          <w:sz w:val="24"/>
          <w:szCs w:val="24"/>
        </w:rPr>
        <w:t xml:space="preserve"> oranı üzerine yürütülen araştırmalarda, sağlık okuryazarlık oranının artmasıyla bireylerin </w:t>
      </w:r>
      <w:proofErr w:type="spellStart"/>
      <w:r w:rsidRPr="005D1551">
        <w:rPr>
          <w:rFonts w:ascii="Times New Roman" w:hAnsi="Times New Roman" w:cs="Times New Roman"/>
          <w:sz w:val="24"/>
          <w:szCs w:val="24"/>
        </w:rPr>
        <w:t>mortalite</w:t>
      </w:r>
      <w:proofErr w:type="spellEnd"/>
      <w:r w:rsidRPr="005D1551">
        <w:rPr>
          <w:rFonts w:ascii="Times New Roman" w:hAnsi="Times New Roman" w:cs="Times New Roman"/>
          <w:sz w:val="24"/>
          <w:szCs w:val="24"/>
        </w:rPr>
        <w:t xml:space="preserve"> oranlarının düştüğü ve hastaneye başvurma tutumlarında azalma gözlendiği ortaya konulmuştur (</w:t>
      </w:r>
      <w:r w:rsidR="009B3BEC">
        <w:rPr>
          <w:rFonts w:ascii="Times New Roman" w:hAnsi="Times New Roman" w:cs="Times New Roman"/>
          <w:sz w:val="24"/>
          <w:szCs w:val="24"/>
        </w:rPr>
        <w:t>8,7</w:t>
      </w:r>
      <w:r w:rsidRPr="005D1551">
        <w:rPr>
          <w:rFonts w:ascii="Times New Roman" w:hAnsi="Times New Roman" w:cs="Times New Roman"/>
          <w:sz w:val="24"/>
          <w:szCs w:val="24"/>
        </w:rPr>
        <w:t>,</w:t>
      </w:r>
      <w:r w:rsidR="009B3BEC">
        <w:rPr>
          <w:rFonts w:ascii="Times New Roman" w:hAnsi="Times New Roman" w:cs="Times New Roman"/>
          <w:sz w:val="24"/>
          <w:szCs w:val="24"/>
        </w:rPr>
        <w:t>13</w:t>
      </w:r>
      <w:r w:rsidRPr="005D1551">
        <w:rPr>
          <w:rFonts w:ascii="Times New Roman" w:hAnsi="Times New Roman" w:cs="Times New Roman"/>
          <w:sz w:val="24"/>
          <w:szCs w:val="24"/>
        </w:rPr>
        <w:t>). Türkiye'de ise konuyla ilgili yapılan bir çalışmada, acile başvurma düzeyinin Avrupa ülkelerinden daha fazla olduğu ve bu sonucun düşük sağlık okuryazarlığından ileri geldiği rapor edilmiştir. (</w:t>
      </w:r>
      <w:r w:rsidR="009B3BEC">
        <w:rPr>
          <w:rFonts w:ascii="Times New Roman" w:hAnsi="Times New Roman" w:cs="Times New Roman"/>
          <w:sz w:val="24"/>
          <w:szCs w:val="24"/>
        </w:rPr>
        <w:t>26</w:t>
      </w:r>
      <w:r w:rsidRPr="005D1551">
        <w:rPr>
          <w:rFonts w:ascii="Times New Roman" w:hAnsi="Times New Roman" w:cs="Times New Roman"/>
          <w:sz w:val="24"/>
          <w:szCs w:val="24"/>
        </w:rPr>
        <w:t>).</w:t>
      </w:r>
    </w:p>
    <w:p w14:paraId="23244273" w14:textId="77777777" w:rsidR="001A14CA" w:rsidRPr="005D1551" w:rsidRDefault="001A14CA" w:rsidP="006708F9">
      <w:pPr>
        <w:spacing w:before="120" w:after="0" w:line="360" w:lineRule="auto"/>
        <w:ind w:left="284" w:firstLine="919"/>
        <w:jc w:val="both"/>
        <w:rPr>
          <w:rFonts w:ascii="Times New Roman" w:hAnsi="Times New Roman" w:cs="Times New Roman"/>
          <w:b/>
          <w:sz w:val="24"/>
          <w:szCs w:val="24"/>
        </w:rPr>
      </w:pPr>
      <w:r w:rsidRPr="005D1551">
        <w:rPr>
          <w:rFonts w:ascii="Times New Roman" w:hAnsi="Times New Roman" w:cs="Times New Roman"/>
          <w:b/>
          <w:sz w:val="24"/>
          <w:szCs w:val="24"/>
        </w:rPr>
        <w:t>SONUÇ</w:t>
      </w:r>
    </w:p>
    <w:p w14:paraId="746AF895" w14:textId="2894C2D5" w:rsidR="00A27A89" w:rsidRDefault="00A27A89" w:rsidP="006708F9">
      <w:pPr>
        <w:spacing w:before="120" w:after="0" w:line="360" w:lineRule="auto"/>
        <w:ind w:left="284" w:firstLine="919"/>
        <w:jc w:val="both"/>
        <w:rPr>
          <w:rFonts w:ascii="Times New Roman" w:hAnsi="Times New Roman" w:cs="Times New Roman"/>
          <w:sz w:val="24"/>
          <w:szCs w:val="24"/>
        </w:rPr>
      </w:pPr>
      <w:r w:rsidRPr="005D1551">
        <w:rPr>
          <w:rFonts w:ascii="Times New Roman" w:hAnsi="Times New Roman" w:cs="Times New Roman"/>
          <w:sz w:val="24"/>
          <w:szCs w:val="24"/>
        </w:rPr>
        <w:t xml:space="preserve">Mevcut çalışmamızın sonuçlarına dayanarak sağlık okuryazarlığı hakkında toplumda farkındalık oluşturulmalı, riskli gruplar öncelikli olmak üzere toplumun sağlık okuryazarlık düzeyi değerlendirilmelidir. Sağlık okuryazarlığı konusu ilköğretim, lise ve üniversite müfredatında yer almalıdır. Ülkemizde sağlık okuryazarlığının ciddiye alınması ve bu konuda farkındalık oluşturulması sağlık alanındaki eşitsizlikleri minimize ederek bireylerin sağlık düzeylerini iyileşmesine ve daha kaliteli hayata kavuşmasına </w:t>
      </w:r>
      <w:proofErr w:type="gramStart"/>
      <w:r w:rsidRPr="005D1551">
        <w:rPr>
          <w:rFonts w:ascii="Times New Roman" w:hAnsi="Times New Roman" w:cs="Times New Roman"/>
          <w:sz w:val="24"/>
          <w:szCs w:val="24"/>
        </w:rPr>
        <w:t>imkan</w:t>
      </w:r>
      <w:proofErr w:type="gramEnd"/>
      <w:r w:rsidR="00247A5B" w:rsidRPr="005D1551">
        <w:rPr>
          <w:rFonts w:ascii="Times New Roman" w:hAnsi="Times New Roman" w:cs="Times New Roman"/>
          <w:sz w:val="24"/>
          <w:szCs w:val="24"/>
        </w:rPr>
        <w:t xml:space="preserve"> </w:t>
      </w:r>
      <w:r w:rsidRPr="005D1551">
        <w:rPr>
          <w:rFonts w:ascii="Times New Roman" w:hAnsi="Times New Roman" w:cs="Times New Roman"/>
          <w:sz w:val="24"/>
          <w:szCs w:val="24"/>
        </w:rPr>
        <w:t>sunacaktır.</w:t>
      </w:r>
      <w:r w:rsidR="00247A5B" w:rsidRPr="005D1551">
        <w:rPr>
          <w:rFonts w:ascii="Times New Roman" w:hAnsi="Times New Roman" w:cs="Times New Roman"/>
          <w:sz w:val="24"/>
          <w:szCs w:val="24"/>
        </w:rPr>
        <w:t xml:space="preserve"> </w:t>
      </w:r>
      <w:r w:rsidRPr="005D1551">
        <w:rPr>
          <w:rFonts w:ascii="Times New Roman" w:hAnsi="Times New Roman" w:cs="Times New Roman"/>
          <w:sz w:val="24"/>
          <w:szCs w:val="24"/>
        </w:rPr>
        <w:t>Özellikle kronik hastalığa sahip bireylerle, yaşlı ve kronik hastalığa sahip bireylerin sağlık okuryazarlık düzeylerinin iyileştirilmesi hem bireylerin kendi sağlık yönetimlerini gerçekleştirmede bireylere katkı sağlayacak hem de sağlık kuruluşlarının ve özellikle acil servislerindeki yoğunluk ve iş yükünün azaltılmasında pozitif yönde etki ederek daha kaliteli hizmet verilmesine imkan</w:t>
      </w:r>
      <w:r w:rsidR="009B3BEC">
        <w:rPr>
          <w:rFonts w:ascii="Times New Roman" w:hAnsi="Times New Roman" w:cs="Times New Roman"/>
          <w:sz w:val="24"/>
          <w:szCs w:val="24"/>
        </w:rPr>
        <w:t xml:space="preserve"> </w:t>
      </w:r>
      <w:r w:rsidRPr="005D1551">
        <w:rPr>
          <w:rFonts w:ascii="Times New Roman" w:hAnsi="Times New Roman" w:cs="Times New Roman"/>
          <w:sz w:val="24"/>
          <w:szCs w:val="24"/>
        </w:rPr>
        <w:t>sunacaktır.</w:t>
      </w:r>
    </w:p>
    <w:p w14:paraId="1C74FA7D" w14:textId="37BE4AB5" w:rsidR="004F44CC" w:rsidRDefault="004F44CC" w:rsidP="006708F9">
      <w:pPr>
        <w:spacing w:before="120" w:after="0" w:line="360" w:lineRule="auto"/>
        <w:ind w:left="284" w:firstLine="919"/>
        <w:jc w:val="both"/>
        <w:rPr>
          <w:rFonts w:ascii="Times New Roman" w:hAnsi="Times New Roman" w:cs="Times New Roman"/>
          <w:b/>
          <w:sz w:val="24"/>
          <w:szCs w:val="24"/>
        </w:rPr>
      </w:pPr>
      <w:r w:rsidRPr="004F44CC">
        <w:rPr>
          <w:rFonts w:ascii="Times New Roman" w:hAnsi="Times New Roman" w:cs="Times New Roman"/>
          <w:b/>
          <w:sz w:val="24"/>
          <w:szCs w:val="24"/>
        </w:rPr>
        <w:t>KAYNAKLAR</w:t>
      </w:r>
    </w:p>
    <w:p w14:paraId="44F326B6" w14:textId="59CF4A35" w:rsidR="004F44CC" w:rsidRPr="004F44CC" w:rsidRDefault="004F44CC" w:rsidP="004F44CC">
      <w:pPr>
        <w:pStyle w:val="ListeParagraf"/>
        <w:numPr>
          <w:ilvl w:val="0"/>
          <w:numId w:val="2"/>
        </w:numPr>
        <w:spacing w:after="0" w:line="360" w:lineRule="auto"/>
        <w:jc w:val="both"/>
        <w:rPr>
          <w:rFonts w:ascii="Times New Roman" w:hAnsi="Times New Roman" w:cs="Times New Roman"/>
          <w:noProof/>
          <w:sz w:val="24"/>
          <w:szCs w:val="24"/>
          <w:lang w:val="en-US"/>
        </w:rPr>
      </w:pPr>
      <w:r w:rsidRPr="004F44CC">
        <w:rPr>
          <w:rFonts w:ascii="Times New Roman" w:hAnsi="Times New Roman" w:cs="Times New Roman"/>
          <w:noProof/>
          <w:sz w:val="24"/>
          <w:szCs w:val="24"/>
          <w:lang w:val="en-US"/>
        </w:rPr>
        <w:t>Australian Commission On Safety And Quality In Health Care.Consumers, The Health System And Health Literacy :Taking Action To Improve Safety And Quality.Consultation Paper.Sydney,2013.</w:t>
      </w:r>
    </w:p>
    <w:p w14:paraId="6DD9DBB9" w14:textId="1A8AD463" w:rsidR="004F44CC" w:rsidRDefault="004F44CC" w:rsidP="004F44CC">
      <w:pPr>
        <w:pStyle w:val="ListeParagraf"/>
        <w:numPr>
          <w:ilvl w:val="0"/>
          <w:numId w:val="2"/>
        </w:numPr>
        <w:spacing w:after="0" w:line="360" w:lineRule="auto"/>
        <w:jc w:val="both"/>
        <w:rPr>
          <w:rFonts w:ascii="Times New Roman" w:hAnsi="Times New Roman" w:cs="Times New Roman"/>
          <w:noProof/>
          <w:sz w:val="24"/>
          <w:szCs w:val="24"/>
          <w:lang w:val="en-US"/>
        </w:rPr>
      </w:pPr>
      <w:r w:rsidRPr="0053583E">
        <w:rPr>
          <w:rFonts w:ascii="Times New Roman" w:hAnsi="Times New Roman" w:cs="Times New Roman"/>
          <w:noProof/>
          <w:sz w:val="24"/>
          <w:szCs w:val="24"/>
          <w:lang w:val="en-US"/>
        </w:rPr>
        <w:t>Bilir N.Sağlık Okuryazarlığı.Türk J Public Health 2014;12(1):61-68</w:t>
      </w:r>
    </w:p>
    <w:p w14:paraId="5B029070" w14:textId="4AF260FD" w:rsidR="004F44CC" w:rsidRDefault="004F44CC" w:rsidP="004F44CC">
      <w:pPr>
        <w:pStyle w:val="ListeParagraf"/>
        <w:numPr>
          <w:ilvl w:val="0"/>
          <w:numId w:val="2"/>
        </w:numPr>
        <w:spacing w:after="0" w:line="360" w:lineRule="auto"/>
        <w:jc w:val="both"/>
        <w:rPr>
          <w:rFonts w:ascii="Times New Roman" w:hAnsi="Times New Roman" w:cs="Times New Roman"/>
          <w:noProof/>
          <w:sz w:val="24"/>
          <w:szCs w:val="24"/>
          <w:lang w:val="en-US"/>
        </w:rPr>
      </w:pPr>
      <w:r w:rsidRPr="0053583E">
        <w:rPr>
          <w:rFonts w:ascii="Times New Roman" w:hAnsi="Times New Roman" w:cs="Times New Roman"/>
          <w:noProof/>
          <w:sz w:val="24"/>
          <w:szCs w:val="24"/>
          <w:lang w:val="en-US"/>
        </w:rPr>
        <w:t>Sorenson K. Van Den Broucke S,Fullam J Qamp ;Et Al.(HLS-EU)Consortium Health Literacy Project EUROPEAN .Health Literacy And Public Health:A Systematic Rewiew And Integration Of Definitions And Models.BMC Public Health 2012 ;25 (12):80</w:t>
      </w:r>
    </w:p>
    <w:p w14:paraId="4F7FA1BA" w14:textId="688D7570" w:rsidR="004F44CC" w:rsidRDefault="004F44CC" w:rsidP="004F44CC">
      <w:pPr>
        <w:pStyle w:val="ListeParagraf"/>
        <w:numPr>
          <w:ilvl w:val="0"/>
          <w:numId w:val="2"/>
        </w:numPr>
        <w:spacing w:after="0" w:line="360" w:lineRule="auto"/>
        <w:jc w:val="both"/>
        <w:rPr>
          <w:rFonts w:ascii="Times New Roman" w:hAnsi="Times New Roman" w:cs="Times New Roman"/>
          <w:noProof/>
          <w:sz w:val="24"/>
          <w:szCs w:val="24"/>
          <w:lang w:val="en-US"/>
        </w:rPr>
      </w:pPr>
      <w:r w:rsidRPr="0053583E">
        <w:rPr>
          <w:rFonts w:ascii="Times New Roman" w:hAnsi="Times New Roman" w:cs="Times New Roman"/>
          <w:noProof/>
          <w:sz w:val="24"/>
          <w:szCs w:val="24"/>
          <w:lang w:val="en-US"/>
        </w:rPr>
        <w:t>T.C Sağlik Bakanliği Sağliğin Geliştirilmesi Genel Müd.</w:t>
      </w:r>
      <w:r>
        <w:rPr>
          <w:rFonts w:ascii="Times New Roman" w:hAnsi="Times New Roman" w:cs="Times New Roman"/>
          <w:noProof/>
          <w:sz w:val="24"/>
          <w:szCs w:val="24"/>
          <w:lang w:val="en-US"/>
        </w:rPr>
        <w:t xml:space="preserve"> </w:t>
      </w:r>
      <w:r w:rsidRPr="0053583E">
        <w:rPr>
          <w:rFonts w:ascii="Times New Roman" w:hAnsi="Times New Roman" w:cs="Times New Roman"/>
          <w:noProof/>
          <w:sz w:val="24"/>
          <w:szCs w:val="24"/>
          <w:lang w:val="en-US"/>
        </w:rPr>
        <w:t>Sağlığın Teşviği Daire Başkanlığı Türkiye Sağlık Okuryazarlığı Ölçekleri Güvenililirlik Ve Geçerlilik Çalışması.Edi:Pınar Okyay,Filiz Abacıgil Mayıs 2016.Avrupa Sağlık Okuryazarlığı Ölçeği Türkçe Uyarlaması (Asoy-Tr) Sağlık Bakanlığı Yayın No:1025 Baskı :1,</w:t>
      </w:r>
    </w:p>
    <w:p w14:paraId="0731AEE2" w14:textId="65973FD1" w:rsidR="004F44CC" w:rsidRPr="004F44CC" w:rsidRDefault="004F44CC" w:rsidP="004F44CC">
      <w:pPr>
        <w:pStyle w:val="ListeParagraf"/>
        <w:numPr>
          <w:ilvl w:val="0"/>
          <w:numId w:val="2"/>
        </w:numPr>
        <w:spacing w:after="0" w:line="360" w:lineRule="auto"/>
        <w:jc w:val="both"/>
        <w:rPr>
          <w:rFonts w:ascii="Times New Roman" w:hAnsi="Times New Roman" w:cs="Times New Roman"/>
          <w:noProof/>
          <w:sz w:val="24"/>
          <w:szCs w:val="24"/>
          <w:lang w:val="en-US"/>
        </w:rPr>
      </w:pPr>
      <w:r w:rsidRPr="004F44CC">
        <w:rPr>
          <w:rFonts w:ascii="Times New Roman" w:hAnsi="Times New Roman" w:cs="Times New Roman"/>
          <w:noProof/>
          <w:sz w:val="24"/>
          <w:szCs w:val="24"/>
          <w:lang w:val="en-US"/>
        </w:rPr>
        <w:lastRenderedPageBreak/>
        <w:t>Hacettepe Üniversitesi Nüfus Etütleri Enstitüsü.''türkiye Nüfus Ve Sağlık Araştırması 2013.'' T.C Kalkınma Bakanlığı Ve TÜBİTAK,Ankara, Türkiye. 2014. Retrieved July 28,2017,FromHttp://Www.Hacettepe.Edu.Tr/Tnsa2013/Rapor/TNSA_2013_ANA_RAPOR.Pdf</w:t>
      </w:r>
    </w:p>
    <w:p w14:paraId="15DF47A5" w14:textId="1096D6BC" w:rsidR="004F44CC" w:rsidRDefault="004F44CC" w:rsidP="004F44CC">
      <w:pPr>
        <w:pStyle w:val="ListeParagraf"/>
        <w:numPr>
          <w:ilvl w:val="0"/>
          <w:numId w:val="2"/>
        </w:numPr>
        <w:spacing w:after="0" w:line="360" w:lineRule="auto"/>
        <w:jc w:val="both"/>
        <w:rPr>
          <w:rFonts w:ascii="Times New Roman" w:hAnsi="Times New Roman" w:cs="Times New Roman"/>
          <w:noProof/>
          <w:sz w:val="24"/>
          <w:szCs w:val="24"/>
          <w:lang w:val="en-US"/>
        </w:rPr>
      </w:pPr>
      <w:r w:rsidRPr="0053583E">
        <w:rPr>
          <w:rFonts w:ascii="Times New Roman" w:hAnsi="Times New Roman" w:cs="Times New Roman"/>
          <w:noProof/>
          <w:sz w:val="24"/>
          <w:szCs w:val="24"/>
          <w:lang w:val="en-US"/>
        </w:rPr>
        <w:t>Doyle G. .Cafferkev K.Fullam J. The European Health Literacy Survey:Results From Ireland April 2012.</w:t>
      </w:r>
      <w:r>
        <w:rPr>
          <w:rFonts w:ascii="Times New Roman" w:hAnsi="Times New Roman" w:cs="Times New Roman"/>
          <w:noProof/>
          <w:sz w:val="24"/>
          <w:szCs w:val="24"/>
          <w:lang w:val="en-US"/>
        </w:rPr>
        <w:t xml:space="preserve"> </w:t>
      </w:r>
      <w:r w:rsidRPr="0053583E">
        <w:rPr>
          <w:rFonts w:ascii="Times New Roman" w:hAnsi="Times New Roman" w:cs="Times New Roman"/>
          <w:noProof/>
          <w:sz w:val="24"/>
          <w:szCs w:val="24"/>
          <w:lang w:val="en-US"/>
        </w:rPr>
        <w:t xml:space="preserve">Retrieved July 28 .2017,From </w:t>
      </w:r>
      <w:hyperlink r:id="rId6" w:history="1">
        <w:r w:rsidRPr="00D165BD">
          <w:rPr>
            <w:rStyle w:val="Kpr"/>
            <w:rFonts w:ascii="Times New Roman" w:hAnsi="Times New Roman" w:cs="Times New Roman"/>
            <w:noProof/>
            <w:sz w:val="24"/>
            <w:szCs w:val="24"/>
            <w:lang w:val="en-US"/>
          </w:rPr>
          <w:t>Http://Healthliteracy.Trinityseven.Biz/Wp-Content/Uploads/2010/11/EU-HEALTH-LİTERACY,SURVEY-FULL-REPORT.Pdf</w:t>
        </w:r>
      </w:hyperlink>
    </w:p>
    <w:p w14:paraId="5EE77074" w14:textId="6423F645" w:rsidR="004F44CC" w:rsidRDefault="004F44CC" w:rsidP="004F44CC">
      <w:pPr>
        <w:pStyle w:val="ListeParagraf"/>
        <w:numPr>
          <w:ilvl w:val="0"/>
          <w:numId w:val="2"/>
        </w:numPr>
        <w:spacing w:after="0" w:line="360" w:lineRule="auto"/>
        <w:jc w:val="both"/>
        <w:rPr>
          <w:rFonts w:ascii="Times New Roman" w:hAnsi="Times New Roman" w:cs="Times New Roman"/>
          <w:noProof/>
          <w:sz w:val="24"/>
          <w:szCs w:val="24"/>
          <w:lang w:val="en-US"/>
        </w:rPr>
      </w:pPr>
      <w:r w:rsidRPr="0053583E">
        <w:rPr>
          <w:rFonts w:ascii="Times New Roman" w:hAnsi="Times New Roman" w:cs="Times New Roman"/>
          <w:noProof/>
          <w:sz w:val="24"/>
          <w:szCs w:val="24"/>
          <w:lang w:val="en-US"/>
        </w:rPr>
        <w:t>Mancusa MJ..Health Literacy:A Concept /Dimensional Analysis.Nursing And Health Sciences 2008;10:248-255.</w:t>
      </w:r>
    </w:p>
    <w:p w14:paraId="52ABA575" w14:textId="50348F57" w:rsidR="004F44CC" w:rsidRDefault="004F44CC" w:rsidP="004F44CC">
      <w:pPr>
        <w:pStyle w:val="ListeParagraf"/>
        <w:numPr>
          <w:ilvl w:val="0"/>
          <w:numId w:val="2"/>
        </w:numPr>
        <w:spacing w:after="0" w:line="360" w:lineRule="auto"/>
        <w:jc w:val="both"/>
        <w:rPr>
          <w:rFonts w:ascii="Times New Roman" w:hAnsi="Times New Roman" w:cs="Times New Roman"/>
          <w:noProof/>
          <w:sz w:val="24"/>
          <w:szCs w:val="24"/>
          <w:lang w:val="en-US"/>
        </w:rPr>
      </w:pPr>
      <w:r w:rsidRPr="0053583E">
        <w:rPr>
          <w:rFonts w:ascii="Times New Roman" w:hAnsi="Times New Roman" w:cs="Times New Roman"/>
          <w:noProof/>
          <w:sz w:val="24"/>
          <w:szCs w:val="24"/>
          <w:lang w:val="en-US"/>
        </w:rPr>
        <w:t>Paasche -Orlow MK.,Wolf MS.The Causal Pathways Linking Health Literacy To Health Outcomes.Am J. Health Behavior 2007;31:19-26.</w:t>
      </w:r>
    </w:p>
    <w:p w14:paraId="61197DA9" w14:textId="77777777" w:rsidR="004F44CC" w:rsidRPr="004F44CC" w:rsidRDefault="004F44CC" w:rsidP="004F44CC">
      <w:pPr>
        <w:pStyle w:val="ListeParagraf"/>
        <w:numPr>
          <w:ilvl w:val="0"/>
          <w:numId w:val="2"/>
        </w:numPr>
        <w:spacing w:after="0" w:line="360" w:lineRule="auto"/>
        <w:jc w:val="both"/>
        <w:rPr>
          <w:rFonts w:ascii="Times New Roman" w:hAnsi="Times New Roman" w:cs="Times New Roman"/>
          <w:noProof/>
          <w:sz w:val="24"/>
          <w:szCs w:val="24"/>
          <w:lang w:val="en-US"/>
        </w:rPr>
      </w:pPr>
      <w:r w:rsidRPr="004F44CC">
        <w:rPr>
          <w:rFonts w:ascii="Times New Roman" w:hAnsi="Times New Roman" w:cs="Times New Roman"/>
          <w:noProof/>
          <w:sz w:val="24"/>
          <w:szCs w:val="24"/>
          <w:lang w:val="en-US"/>
        </w:rPr>
        <w:t>Williams MV. Davis T.Parker RM:ET. AL.The Role Of Health Literacy In Patient-Physician Communication .Family Medicine 2002;34(5):383-389</w:t>
      </w:r>
    </w:p>
    <w:p w14:paraId="0B6BD4CD" w14:textId="570F310B" w:rsidR="004F44CC" w:rsidRDefault="004F44CC" w:rsidP="004F44CC">
      <w:pPr>
        <w:pStyle w:val="ListeParagraf"/>
        <w:numPr>
          <w:ilvl w:val="0"/>
          <w:numId w:val="2"/>
        </w:numPr>
        <w:spacing w:after="0" w:line="360" w:lineRule="auto"/>
        <w:jc w:val="both"/>
        <w:rPr>
          <w:rFonts w:ascii="Times New Roman" w:hAnsi="Times New Roman" w:cs="Times New Roman"/>
          <w:noProof/>
          <w:sz w:val="24"/>
          <w:szCs w:val="24"/>
          <w:lang w:val="en-US"/>
        </w:rPr>
      </w:pPr>
      <w:r w:rsidRPr="0053583E">
        <w:rPr>
          <w:rFonts w:ascii="Times New Roman" w:hAnsi="Times New Roman" w:cs="Times New Roman"/>
          <w:noProof/>
          <w:sz w:val="24"/>
          <w:szCs w:val="24"/>
          <w:lang w:val="en-US"/>
        </w:rPr>
        <w:t>Wolf MS Curtis LM,Wilson EA &amp;Amp Et.Al.Literacy Kognitive Function And Health Results Of The Lit Cog Study .J.Gen Intern Med.2012;27:1300-1307</w:t>
      </w:r>
    </w:p>
    <w:p w14:paraId="0B385779" w14:textId="77777777" w:rsidR="004F44CC" w:rsidRPr="004F44CC" w:rsidRDefault="004F44CC" w:rsidP="004F44CC">
      <w:pPr>
        <w:pStyle w:val="ListeParagraf"/>
        <w:numPr>
          <w:ilvl w:val="0"/>
          <w:numId w:val="2"/>
        </w:numPr>
        <w:spacing w:after="0" w:line="360" w:lineRule="auto"/>
        <w:jc w:val="both"/>
        <w:rPr>
          <w:rFonts w:ascii="Times New Roman" w:hAnsi="Times New Roman" w:cs="Times New Roman"/>
          <w:sz w:val="24"/>
          <w:szCs w:val="24"/>
        </w:rPr>
      </w:pPr>
      <w:proofErr w:type="spellStart"/>
      <w:r w:rsidRPr="004F44CC">
        <w:rPr>
          <w:rFonts w:ascii="Times New Roman" w:hAnsi="Times New Roman" w:cs="Times New Roman"/>
          <w:sz w:val="24"/>
          <w:szCs w:val="24"/>
        </w:rPr>
        <w:t>The</w:t>
      </w:r>
      <w:proofErr w:type="spellEnd"/>
      <w:r w:rsidRPr="004F44CC">
        <w:rPr>
          <w:rFonts w:ascii="Times New Roman" w:hAnsi="Times New Roman" w:cs="Times New Roman"/>
          <w:sz w:val="24"/>
          <w:szCs w:val="24"/>
        </w:rPr>
        <w:t xml:space="preserve"> </w:t>
      </w:r>
      <w:proofErr w:type="spellStart"/>
      <w:r w:rsidRPr="004F44CC">
        <w:rPr>
          <w:rFonts w:ascii="Times New Roman" w:hAnsi="Times New Roman" w:cs="Times New Roman"/>
          <w:sz w:val="24"/>
          <w:szCs w:val="24"/>
        </w:rPr>
        <w:t>European</w:t>
      </w:r>
      <w:proofErr w:type="spellEnd"/>
      <w:r w:rsidRPr="004F44CC">
        <w:rPr>
          <w:rFonts w:ascii="Times New Roman" w:hAnsi="Times New Roman" w:cs="Times New Roman"/>
          <w:sz w:val="24"/>
          <w:szCs w:val="24"/>
        </w:rPr>
        <w:t xml:space="preserve"> </w:t>
      </w:r>
      <w:proofErr w:type="spellStart"/>
      <w:r w:rsidRPr="004F44CC">
        <w:rPr>
          <w:rFonts w:ascii="Times New Roman" w:hAnsi="Times New Roman" w:cs="Times New Roman"/>
          <w:sz w:val="24"/>
          <w:szCs w:val="24"/>
        </w:rPr>
        <w:t>Health</w:t>
      </w:r>
      <w:proofErr w:type="spellEnd"/>
      <w:r w:rsidRPr="004F44CC">
        <w:rPr>
          <w:rFonts w:ascii="Times New Roman" w:hAnsi="Times New Roman" w:cs="Times New Roman"/>
          <w:sz w:val="24"/>
          <w:szCs w:val="24"/>
        </w:rPr>
        <w:t xml:space="preserve"> </w:t>
      </w:r>
      <w:proofErr w:type="spellStart"/>
      <w:r w:rsidRPr="004F44CC">
        <w:rPr>
          <w:rFonts w:ascii="Times New Roman" w:hAnsi="Times New Roman" w:cs="Times New Roman"/>
          <w:sz w:val="24"/>
          <w:szCs w:val="24"/>
        </w:rPr>
        <w:t>Literacy</w:t>
      </w:r>
      <w:proofErr w:type="spellEnd"/>
      <w:r w:rsidRPr="004F44CC">
        <w:rPr>
          <w:rFonts w:ascii="Times New Roman" w:hAnsi="Times New Roman" w:cs="Times New Roman"/>
          <w:sz w:val="24"/>
          <w:szCs w:val="24"/>
        </w:rPr>
        <w:t xml:space="preserve"> Project, 2009- 2012. </w:t>
      </w:r>
      <w:proofErr w:type="spellStart"/>
      <w:r w:rsidRPr="004F44CC">
        <w:rPr>
          <w:rFonts w:ascii="Times New Roman" w:hAnsi="Times New Roman" w:cs="Times New Roman"/>
          <w:sz w:val="24"/>
          <w:szCs w:val="24"/>
        </w:rPr>
        <w:t>Comperative</w:t>
      </w:r>
      <w:proofErr w:type="spellEnd"/>
      <w:r w:rsidRPr="004F44CC">
        <w:rPr>
          <w:rFonts w:ascii="Times New Roman" w:hAnsi="Times New Roman" w:cs="Times New Roman"/>
          <w:sz w:val="24"/>
          <w:szCs w:val="24"/>
        </w:rPr>
        <w:t xml:space="preserve"> Report on </w:t>
      </w:r>
      <w:proofErr w:type="spellStart"/>
      <w:r w:rsidRPr="004F44CC">
        <w:rPr>
          <w:rFonts w:ascii="Times New Roman" w:hAnsi="Times New Roman" w:cs="Times New Roman"/>
          <w:sz w:val="24"/>
          <w:szCs w:val="24"/>
        </w:rPr>
        <w:t>Health</w:t>
      </w:r>
      <w:proofErr w:type="spellEnd"/>
      <w:r w:rsidRPr="004F44CC">
        <w:rPr>
          <w:rFonts w:ascii="Times New Roman" w:hAnsi="Times New Roman" w:cs="Times New Roman"/>
          <w:sz w:val="24"/>
          <w:szCs w:val="24"/>
        </w:rPr>
        <w:t xml:space="preserve"> </w:t>
      </w:r>
      <w:proofErr w:type="spellStart"/>
      <w:r w:rsidRPr="004F44CC">
        <w:rPr>
          <w:rFonts w:ascii="Times New Roman" w:hAnsi="Times New Roman" w:cs="Times New Roman"/>
          <w:sz w:val="24"/>
          <w:szCs w:val="24"/>
        </w:rPr>
        <w:t>Literacy</w:t>
      </w:r>
      <w:proofErr w:type="spellEnd"/>
      <w:r w:rsidRPr="004F44CC">
        <w:rPr>
          <w:rFonts w:ascii="Times New Roman" w:hAnsi="Times New Roman" w:cs="Times New Roman"/>
          <w:sz w:val="24"/>
          <w:szCs w:val="24"/>
        </w:rPr>
        <w:t xml:space="preserve"> in </w:t>
      </w:r>
      <w:proofErr w:type="spellStart"/>
      <w:r w:rsidRPr="004F44CC">
        <w:rPr>
          <w:rFonts w:ascii="Times New Roman" w:hAnsi="Times New Roman" w:cs="Times New Roman"/>
          <w:sz w:val="24"/>
          <w:szCs w:val="24"/>
        </w:rPr>
        <w:t>eight</w:t>
      </w:r>
      <w:proofErr w:type="spellEnd"/>
      <w:r w:rsidRPr="004F44CC">
        <w:rPr>
          <w:rFonts w:ascii="Times New Roman" w:hAnsi="Times New Roman" w:cs="Times New Roman"/>
          <w:sz w:val="24"/>
          <w:szCs w:val="24"/>
        </w:rPr>
        <w:t xml:space="preserve"> EU </w:t>
      </w:r>
      <w:proofErr w:type="spellStart"/>
      <w:r w:rsidRPr="004F44CC">
        <w:rPr>
          <w:rFonts w:ascii="Times New Roman" w:hAnsi="Times New Roman" w:cs="Times New Roman"/>
          <w:sz w:val="24"/>
          <w:szCs w:val="24"/>
        </w:rPr>
        <w:t>Member</w:t>
      </w:r>
      <w:proofErr w:type="spellEnd"/>
      <w:r w:rsidRPr="004F44CC">
        <w:rPr>
          <w:rFonts w:ascii="Times New Roman" w:hAnsi="Times New Roman" w:cs="Times New Roman"/>
          <w:sz w:val="24"/>
          <w:szCs w:val="24"/>
        </w:rPr>
        <w:t xml:space="preserve"> </w:t>
      </w:r>
      <w:proofErr w:type="spellStart"/>
      <w:r w:rsidRPr="004F44CC">
        <w:rPr>
          <w:rFonts w:ascii="Times New Roman" w:hAnsi="Times New Roman" w:cs="Times New Roman"/>
          <w:sz w:val="24"/>
          <w:szCs w:val="24"/>
        </w:rPr>
        <w:t>States</w:t>
      </w:r>
      <w:proofErr w:type="spellEnd"/>
      <w:r w:rsidRPr="004F44CC">
        <w:rPr>
          <w:rFonts w:ascii="Times New Roman" w:hAnsi="Times New Roman" w:cs="Times New Roman"/>
          <w:sz w:val="24"/>
          <w:szCs w:val="24"/>
        </w:rPr>
        <w:t xml:space="preserve"> (2012). Maastricht, HLS-EU </w:t>
      </w:r>
      <w:proofErr w:type="spellStart"/>
      <w:r w:rsidRPr="004F44CC">
        <w:rPr>
          <w:rFonts w:ascii="Times New Roman" w:hAnsi="Times New Roman" w:cs="Times New Roman"/>
          <w:sz w:val="24"/>
          <w:szCs w:val="24"/>
        </w:rPr>
        <w:t>Consortium</w:t>
      </w:r>
      <w:proofErr w:type="spellEnd"/>
      <w:r w:rsidRPr="004F44CC">
        <w:rPr>
          <w:rFonts w:ascii="Times New Roman" w:hAnsi="Times New Roman" w:cs="Times New Roman"/>
          <w:sz w:val="24"/>
          <w:szCs w:val="24"/>
        </w:rPr>
        <w:t xml:space="preserve">. Erişim: 13 Ekim 2015, </w:t>
      </w:r>
      <w:hyperlink r:id="rId7" w:history="1">
        <w:r w:rsidRPr="004F44CC">
          <w:rPr>
            <w:rStyle w:val="Kpr"/>
            <w:rFonts w:ascii="Times New Roman" w:hAnsi="Times New Roman" w:cs="Times New Roman"/>
            <w:sz w:val="24"/>
            <w:szCs w:val="24"/>
          </w:rPr>
          <w:t>www.healthliteracy.eu</w:t>
        </w:r>
      </w:hyperlink>
      <w:r w:rsidRPr="004F44CC">
        <w:rPr>
          <w:rFonts w:ascii="Times New Roman" w:hAnsi="Times New Roman" w:cs="Times New Roman"/>
          <w:sz w:val="24"/>
          <w:szCs w:val="24"/>
        </w:rPr>
        <w:t>.</w:t>
      </w:r>
    </w:p>
    <w:p w14:paraId="7CD955F9" w14:textId="09CC488B" w:rsidR="004F44CC" w:rsidRPr="0087344C" w:rsidRDefault="0087344C" w:rsidP="004F44CC">
      <w:pPr>
        <w:pStyle w:val="ListeParagraf"/>
        <w:numPr>
          <w:ilvl w:val="0"/>
          <w:numId w:val="2"/>
        </w:numPr>
        <w:spacing w:after="0" w:line="360" w:lineRule="auto"/>
        <w:jc w:val="both"/>
        <w:rPr>
          <w:rFonts w:ascii="Times New Roman" w:hAnsi="Times New Roman" w:cs="Times New Roman"/>
          <w:noProof/>
          <w:sz w:val="24"/>
          <w:szCs w:val="24"/>
          <w:lang w:val="en-US"/>
        </w:rPr>
      </w:pPr>
      <w:r w:rsidRPr="0053583E">
        <w:rPr>
          <w:rFonts w:ascii="Times New Roman" w:hAnsi="Times New Roman" w:cs="Times New Roman"/>
          <w:sz w:val="24"/>
          <w:szCs w:val="24"/>
        </w:rPr>
        <w:t xml:space="preserve">Durusu-Tanrıöver, M. Yıldırım, </w:t>
      </w:r>
      <w:proofErr w:type="spellStart"/>
      <w:r w:rsidRPr="0053583E">
        <w:rPr>
          <w:rFonts w:ascii="Times New Roman" w:hAnsi="Times New Roman" w:cs="Times New Roman"/>
          <w:sz w:val="24"/>
          <w:szCs w:val="24"/>
        </w:rPr>
        <w:t>H.</w:t>
      </w:r>
      <w:proofErr w:type="gramStart"/>
      <w:r w:rsidRPr="0053583E">
        <w:rPr>
          <w:rFonts w:ascii="Times New Roman" w:hAnsi="Times New Roman" w:cs="Times New Roman"/>
          <w:sz w:val="24"/>
          <w:szCs w:val="24"/>
        </w:rPr>
        <w:t>H.Demiray</w:t>
      </w:r>
      <w:proofErr w:type="spellEnd"/>
      <w:proofErr w:type="gramEnd"/>
      <w:r w:rsidRPr="0053583E">
        <w:rPr>
          <w:rFonts w:ascii="Times New Roman" w:hAnsi="Times New Roman" w:cs="Times New Roman"/>
          <w:sz w:val="24"/>
          <w:szCs w:val="24"/>
        </w:rPr>
        <w:t xml:space="preserve">-Ready, </w:t>
      </w:r>
      <w:proofErr w:type="spellStart"/>
      <w:r w:rsidRPr="0053583E">
        <w:rPr>
          <w:rFonts w:ascii="Times New Roman" w:hAnsi="Times New Roman" w:cs="Times New Roman"/>
          <w:sz w:val="24"/>
          <w:szCs w:val="24"/>
        </w:rPr>
        <w:t>F.N.Çakır</w:t>
      </w:r>
      <w:proofErr w:type="spellEnd"/>
      <w:r w:rsidRPr="0053583E">
        <w:rPr>
          <w:rFonts w:ascii="Times New Roman" w:hAnsi="Times New Roman" w:cs="Times New Roman"/>
          <w:sz w:val="24"/>
          <w:szCs w:val="24"/>
        </w:rPr>
        <w:t xml:space="preserve">, B. ve Akalın, H.E. (2014). Türkiye sağlık okuryazarlığı araştırması, Birinci Baskı, </w:t>
      </w:r>
      <w:proofErr w:type="spellStart"/>
      <w:r w:rsidRPr="0053583E">
        <w:rPr>
          <w:rFonts w:ascii="Times New Roman" w:hAnsi="Times New Roman" w:cs="Times New Roman"/>
          <w:sz w:val="24"/>
          <w:szCs w:val="24"/>
        </w:rPr>
        <w:t>SağlıkSen</w:t>
      </w:r>
      <w:proofErr w:type="spellEnd"/>
      <w:r w:rsidRPr="0053583E">
        <w:rPr>
          <w:rFonts w:ascii="Times New Roman" w:hAnsi="Times New Roman" w:cs="Times New Roman"/>
          <w:sz w:val="24"/>
          <w:szCs w:val="24"/>
        </w:rPr>
        <w:t xml:space="preserve"> Yayınları, Ankara.</w:t>
      </w:r>
    </w:p>
    <w:p w14:paraId="7D07B896" w14:textId="5107D321" w:rsidR="0087344C" w:rsidRPr="0087344C" w:rsidRDefault="0087344C" w:rsidP="004F44CC">
      <w:pPr>
        <w:pStyle w:val="ListeParagraf"/>
        <w:numPr>
          <w:ilvl w:val="0"/>
          <w:numId w:val="2"/>
        </w:numPr>
        <w:spacing w:after="0" w:line="360" w:lineRule="auto"/>
        <w:jc w:val="both"/>
        <w:rPr>
          <w:rFonts w:ascii="Times New Roman" w:hAnsi="Times New Roman" w:cs="Times New Roman"/>
          <w:noProof/>
          <w:sz w:val="24"/>
          <w:szCs w:val="24"/>
          <w:lang w:val="en-US"/>
        </w:rPr>
      </w:pPr>
      <w:proofErr w:type="spellStart"/>
      <w:r w:rsidRPr="0053583E">
        <w:rPr>
          <w:rFonts w:ascii="Times New Roman" w:hAnsi="Times New Roman" w:cs="Times New Roman"/>
          <w:sz w:val="24"/>
          <w:szCs w:val="24"/>
        </w:rPr>
        <w:t>Tokuda</w:t>
      </w:r>
      <w:proofErr w:type="spellEnd"/>
      <w:r w:rsidRPr="0053583E">
        <w:rPr>
          <w:rFonts w:ascii="Times New Roman" w:hAnsi="Times New Roman" w:cs="Times New Roman"/>
          <w:sz w:val="24"/>
          <w:szCs w:val="24"/>
        </w:rPr>
        <w:t xml:space="preserve">, Y. </w:t>
      </w:r>
      <w:proofErr w:type="spellStart"/>
      <w:r w:rsidRPr="0053583E">
        <w:rPr>
          <w:rFonts w:ascii="Times New Roman" w:hAnsi="Times New Roman" w:cs="Times New Roman"/>
          <w:sz w:val="24"/>
          <w:szCs w:val="24"/>
        </w:rPr>
        <w:t>Doba</w:t>
      </w:r>
      <w:proofErr w:type="spellEnd"/>
      <w:r w:rsidRPr="0053583E">
        <w:rPr>
          <w:rFonts w:ascii="Times New Roman" w:hAnsi="Times New Roman" w:cs="Times New Roman"/>
          <w:sz w:val="24"/>
          <w:szCs w:val="24"/>
        </w:rPr>
        <w:t xml:space="preserve">, N. </w:t>
      </w:r>
      <w:proofErr w:type="spellStart"/>
      <w:r w:rsidRPr="0053583E">
        <w:rPr>
          <w:rFonts w:ascii="Times New Roman" w:hAnsi="Times New Roman" w:cs="Times New Roman"/>
          <w:sz w:val="24"/>
          <w:szCs w:val="24"/>
        </w:rPr>
        <w:t>Butler</w:t>
      </w:r>
      <w:proofErr w:type="spellEnd"/>
      <w:r w:rsidRPr="0053583E">
        <w:rPr>
          <w:rFonts w:ascii="Times New Roman" w:hAnsi="Times New Roman" w:cs="Times New Roman"/>
          <w:sz w:val="24"/>
          <w:szCs w:val="24"/>
        </w:rPr>
        <w:t xml:space="preserve">, J.P. </w:t>
      </w:r>
      <w:proofErr w:type="spellStart"/>
      <w:r w:rsidRPr="0053583E">
        <w:rPr>
          <w:rFonts w:ascii="Times New Roman" w:hAnsi="Times New Roman" w:cs="Times New Roman"/>
          <w:sz w:val="24"/>
          <w:szCs w:val="24"/>
        </w:rPr>
        <w:t>Paasche-Orlow</w:t>
      </w:r>
      <w:proofErr w:type="spellEnd"/>
      <w:r w:rsidRPr="0053583E">
        <w:rPr>
          <w:rFonts w:ascii="Times New Roman" w:hAnsi="Times New Roman" w:cs="Times New Roman"/>
          <w:sz w:val="24"/>
          <w:szCs w:val="24"/>
        </w:rPr>
        <w:t xml:space="preserve">, M.K. (2009). </w:t>
      </w:r>
      <w:proofErr w:type="spellStart"/>
      <w:r w:rsidRPr="0053583E">
        <w:rPr>
          <w:rFonts w:ascii="Times New Roman" w:hAnsi="Times New Roman" w:cs="Times New Roman"/>
          <w:sz w:val="24"/>
          <w:szCs w:val="24"/>
        </w:rPr>
        <w:t>Health</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literacy</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and</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physical</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and</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psychological</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wellbeing</w:t>
      </w:r>
      <w:proofErr w:type="spellEnd"/>
      <w:r w:rsidRPr="0053583E">
        <w:rPr>
          <w:rFonts w:ascii="Times New Roman" w:hAnsi="Times New Roman" w:cs="Times New Roman"/>
          <w:sz w:val="24"/>
          <w:szCs w:val="24"/>
        </w:rPr>
        <w:t xml:space="preserve"> in </w:t>
      </w:r>
      <w:proofErr w:type="spellStart"/>
      <w:r w:rsidRPr="0053583E">
        <w:rPr>
          <w:rFonts w:ascii="Times New Roman" w:hAnsi="Times New Roman" w:cs="Times New Roman"/>
          <w:sz w:val="24"/>
          <w:szCs w:val="24"/>
        </w:rPr>
        <w:t>Japanese</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adults</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Patient</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Education</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and</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Counseling</w:t>
      </w:r>
      <w:proofErr w:type="spellEnd"/>
      <w:r w:rsidRPr="0053583E">
        <w:rPr>
          <w:rFonts w:ascii="Times New Roman" w:hAnsi="Times New Roman" w:cs="Times New Roman"/>
          <w:sz w:val="24"/>
          <w:szCs w:val="24"/>
        </w:rPr>
        <w:t>, 75: 411–417</w:t>
      </w:r>
    </w:p>
    <w:p w14:paraId="343B7839" w14:textId="5340C87F" w:rsidR="0087344C" w:rsidRPr="0087344C" w:rsidRDefault="0087344C" w:rsidP="004F44CC">
      <w:pPr>
        <w:pStyle w:val="ListeParagraf"/>
        <w:numPr>
          <w:ilvl w:val="0"/>
          <w:numId w:val="2"/>
        </w:numPr>
        <w:spacing w:after="0" w:line="360" w:lineRule="auto"/>
        <w:jc w:val="both"/>
        <w:rPr>
          <w:rFonts w:ascii="Times New Roman" w:hAnsi="Times New Roman" w:cs="Times New Roman"/>
          <w:noProof/>
          <w:sz w:val="24"/>
          <w:szCs w:val="24"/>
          <w:lang w:val="en-US"/>
        </w:rPr>
      </w:pPr>
      <w:r w:rsidRPr="0053583E">
        <w:rPr>
          <w:rFonts w:ascii="Times New Roman" w:hAnsi="Times New Roman" w:cs="Times New Roman"/>
          <w:sz w:val="24"/>
          <w:szCs w:val="24"/>
        </w:rPr>
        <w:t>Temel A. ve Çimen U. (2017). Kronik hastalığı olan yaşlı bireylerde sağlık okuryazarlığı ve sağlık algısı ilişkisi ve sağlık okuryazarlığını etkileyen faktörlerin incelenmesi. Ege Üniversitesi Hemşirelik Fakültesi Dergisi 33(3):105-125.</w:t>
      </w:r>
    </w:p>
    <w:p w14:paraId="77588819" w14:textId="7AD50E76" w:rsidR="0087344C" w:rsidRPr="0087344C" w:rsidRDefault="0087344C" w:rsidP="004F44CC">
      <w:pPr>
        <w:pStyle w:val="ListeParagraf"/>
        <w:numPr>
          <w:ilvl w:val="0"/>
          <w:numId w:val="2"/>
        </w:numPr>
        <w:spacing w:after="0" w:line="360" w:lineRule="auto"/>
        <w:jc w:val="both"/>
        <w:rPr>
          <w:rFonts w:ascii="Times New Roman" w:hAnsi="Times New Roman" w:cs="Times New Roman"/>
          <w:noProof/>
          <w:sz w:val="24"/>
          <w:szCs w:val="24"/>
          <w:lang w:val="en-US"/>
        </w:rPr>
      </w:pPr>
      <w:proofErr w:type="spellStart"/>
      <w:r w:rsidRPr="0053583E">
        <w:rPr>
          <w:rFonts w:ascii="Times New Roman" w:hAnsi="Times New Roman" w:cs="Times New Roman"/>
          <w:sz w:val="24"/>
          <w:szCs w:val="24"/>
        </w:rPr>
        <w:t>Federman</w:t>
      </w:r>
      <w:proofErr w:type="spellEnd"/>
      <w:r w:rsidRPr="0053583E">
        <w:rPr>
          <w:rFonts w:ascii="Times New Roman" w:hAnsi="Times New Roman" w:cs="Times New Roman"/>
          <w:sz w:val="24"/>
          <w:szCs w:val="24"/>
        </w:rPr>
        <w:t xml:space="preserve"> A D, </w:t>
      </w:r>
      <w:proofErr w:type="spellStart"/>
      <w:r w:rsidRPr="0053583E">
        <w:rPr>
          <w:rFonts w:ascii="Times New Roman" w:hAnsi="Times New Roman" w:cs="Times New Roman"/>
          <w:sz w:val="24"/>
          <w:szCs w:val="24"/>
        </w:rPr>
        <w:t>Wolf</w:t>
      </w:r>
      <w:proofErr w:type="spellEnd"/>
      <w:r w:rsidRPr="0053583E">
        <w:rPr>
          <w:rFonts w:ascii="Times New Roman" w:hAnsi="Times New Roman" w:cs="Times New Roman"/>
          <w:sz w:val="24"/>
          <w:szCs w:val="24"/>
        </w:rPr>
        <w:t xml:space="preserve"> M S, </w:t>
      </w:r>
      <w:proofErr w:type="spellStart"/>
      <w:r w:rsidRPr="0053583E">
        <w:rPr>
          <w:rFonts w:ascii="Times New Roman" w:hAnsi="Times New Roman" w:cs="Times New Roman"/>
          <w:sz w:val="24"/>
          <w:szCs w:val="24"/>
        </w:rPr>
        <w:t>Sofianou</w:t>
      </w:r>
      <w:proofErr w:type="spellEnd"/>
      <w:r w:rsidRPr="0053583E">
        <w:rPr>
          <w:rFonts w:ascii="Times New Roman" w:hAnsi="Times New Roman" w:cs="Times New Roman"/>
          <w:sz w:val="24"/>
          <w:szCs w:val="24"/>
        </w:rPr>
        <w:t xml:space="preserve"> A &amp; et al. </w:t>
      </w:r>
      <w:proofErr w:type="spellStart"/>
      <w:r w:rsidRPr="0053583E">
        <w:rPr>
          <w:rFonts w:ascii="Times New Roman" w:hAnsi="Times New Roman" w:cs="Times New Roman"/>
          <w:sz w:val="24"/>
          <w:szCs w:val="24"/>
        </w:rPr>
        <w:t>Asthma</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Outcomes</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Are</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Poor</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Among</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Older</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Adults</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With</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Low</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Health</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Literacy</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Journal</w:t>
      </w:r>
      <w:proofErr w:type="spellEnd"/>
      <w:r w:rsidRPr="0053583E">
        <w:rPr>
          <w:rFonts w:ascii="Times New Roman" w:hAnsi="Times New Roman" w:cs="Times New Roman"/>
          <w:sz w:val="24"/>
          <w:szCs w:val="24"/>
        </w:rPr>
        <w:t xml:space="preserve"> of </w:t>
      </w:r>
      <w:proofErr w:type="spellStart"/>
      <w:r w:rsidRPr="0053583E">
        <w:rPr>
          <w:rFonts w:ascii="Times New Roman" w:hAnsi="Times New Roman" w:cs="Times New Roman"/>
          <w:sz w:val="24"/>
          <w:szCs w:val="24"/>
        </w:rPr>
        <w:t>Asthma</w:t>
      </w:r>
      <w:proofErr w:type="spellEnd"/>
      <w:r w:rsidRPr="0053583E">
        <w:rPr>
          <w:rFonts w:ascii="Times New Roman" w:hAnsi="Times New Roman" w:cs="Times New Roman"/>
          <w:sz w:val="24"/>
          <w:szCs w:val="24"/>
        </w:rPr>
        <w:t xml:space="preserve"> 2014; 51(2): 162-167.</w:t>
      </w:r>
    </w:p>
    <w:p w14:paraId="23463600" w14:textId="77777777" w:rsidR="0087344C" w:rsidRPr="0087344C" w:rsidRDefault="0087344C" w:rsidP="0087344C">
      <w:pPr>
        <w:pStyle w:val="ListeParagraf"/>
        <w:numPr>
          <w:ilvl w:val="0"/>
          <w:numId w:val="2"/>
        </w:numPr>
        <w:spacing w:after="0" w:line="360" w:lineRule="auto"/>
        <w:jc w:val="both"/>
        <w:rPr>
          <w:rFonts w:ascii="Times New Roman" w:hAnsi="Times New Roman" w:cs="Times New Roman"/>
          <w:sz w:val="24"/>
          <w:szCs w:val="24"/>
        </w:rPr>
      </w:pPr>
      <w:proofErr w:type="spellStart"/>
      <w:r w:rsidRPr="0087344C">
        <w:rPr>
          <w:rFonts w:ascii="Times New Roman" w:hAnsi="Times New Roman" w:cs="Times New Roman"/>
          <w:sz w:val="24"/>
          <w:szCs w:val="24"/>
        </w:rPr>
        <w:t>Nutbeam</w:t>
      </w:r>
      <w:proofErr w:type="spellEnd"/>
      <w:r w:rsidRPr="0087344C">
        <w:rPr>
          <w:rFonts w:ascii="Times New Roman" w:hAnsi="Times New Roman" w:cs="Times New Roman"/>
          <w:sz w:val="24"/>
          <w:szCs w:val="24"/>
        </w:rPr>
        <w:t xml:space="preserve">, D. (2000). </w:t>
      </w:r>
      <w:proofErr w:type="spellStart"/>
      <w:r w:rsidRPr="0087344C">
        <w:rPr>
          <w:rFonts w:ascii="Times New Roman" w:hAnsi="Times New Roman" w:cs="Times New Roman"/>
          <w:sz w:val="24"/>
          <w:szCs w:val="24"/>
        </w:rPr>
        <w:t>Health</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Literacy</w:t>
      </w:r>
      <w:proofErr w:type="spellEnd"/>
      <w:r w:rsidRPr="0087344C">
        <w:rPr>
          <w:rFonts w:ascii="Times New Roman" w:hAnsi="Times New Roman" w:cs="Times New Roman"/>
          <w:sz w:val="24"/>
          <w:szCs w:val="24"/>
        </w:rPr>
        <w:t xml:space="preserve"> As A </w:t>
      </w:r>
      <w:proofErr w:type="spellStart"/>
      <w:r w:rsidRPr="0087344C">
        <w:rPr>
          <w:rFonts w:ascii="Times New Roman" w:hAnsi="Times New Roman" w:cs="Times New Roman"/>
          <w:sz w:val="24"/>
          <w:szCs w:val="24"/>
        </w:rPr>
        <w:t>Public</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Health</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Goal</w:t>
      </w:r>
      <w:proofErr w:type="spellEnd"/>
      <w:r w:rsidRPr="0087344C">
        <w:rPr>
          <w:rFonts w:ascii="Times New Roman" w:hAnsi="Times New Roman" w:cs="Times New Roman"/>
          <w:sz w:val="24"/>
          <w:szCs w:val="24"/>
        </w:rPr>
        <w:t xml:space="preserve">: A Challenge </w:t>
      </w:r>
      <w:proofErr w:type="spellStart"/>
      <w:r w:rsidRPr="0087344C">
        <w:rPr>
          <w:rFonts w:ascii="Times New Roman" w:hAnsi="Times New Roman" w:cs="Times New Roman"/>
          <w:sz w:val="24"/>
          <w:szCs w:val="24"/>
        </w:rPr>
        <w:t>For</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Contemporary</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Health</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Education</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And</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Communication</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Strategies</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Into</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The</w:t>
      </w:r>
      <w:proofErr w:type="spellEnd"/>
      <w:r w:rsidRPr="0087344C">
        <w:rPr>
          <w:rFonts w:ascii="Times New Roman" w:hAnsi="Times New Roman" w:cs="Times New Roman"/>
          <w:sz w:val="24"/>
          <w:szCs w:val="24"/>
        </w:rPr>
        <w:t xml:space="preserve"> 21st Century. </w:t>
      </w:r>
      <w:proofErr w:type="spellStart"/>
      <w:r w:rsidRPr="0087344C">
        <w:rPr>
          <w:rFonts w:ascii="Times New Roman" w:hAnsi="Times New Roman" w:cs="Times New Roman"/>
          <w:sz w:val="24"/>
          <w:szCs w:val="24"/>
        </w:rPr>
        <w:t>Health</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Promotion</w:t>
      </w:r>
      <w:proofErr w:type="spellEnd"/>
      <w:r w:rsidRPr="0087344C">
        <w:rPr>
          <w:rFonts w:ascii="Times New Roman" w:hAnsi="Times New Roman" w:cs="Times New Roman"/>
          <w:sz w:val="24"/>
          <w:szCs w:val="24"/>
        </w:rPr>
        <w:t xml:space="preserve"> International, 15 (3): 9–1</w:t>
      </w:r>
    </w:p>
    <w:p w14:paraId="7FBB028A" w14:textId="77777777" w:rsidR="0087344C" w:rsidRPr="0087344C" w:rsidRDefault="0087344C" w:rsidP="0087344C">
      <w:pPr>
        <w:pStyle w:val="ListeParagraf"/>
        <w:numPr>
          <w:ilvl w:val="0"/>
          <w:numId w:val="2"/>
        </w:numPr>
        <w:spacing w:after="0" w:line="360" w:lineRule="auto"/>
        <w:jc w:val="both"/>
        <w:rPr>
          <w:rFonts w:ascii="Times New Roman" w:hAnsi="Times New Roman" w:cs="Times New Roman"/>
          <w:sz w:val="24"/>
          <w:szCs w:val="24"/>
        </w:rPr>
      </w:pPr>
      <w:r w:rsidRPr="0087344C">
        <w:rPr>
          <w:rFonts w:ascii="Times New Roman" w:hAnsi="Times New Roman" w:cs="Times New Roman"/>
          <w:sz w:val="24"/>
          <w:szCs w:val="24"/>
        </w:rPr>
        <w:lastRenderedPageBreak/>
        <w:t xml:space="preserve">World </w:t>
      </w:r>
      <w:proofErr w:type="spellStart"/>
      <w:r w:rsidRPr="0087344C">
        <w:rPr>
          <w:rFonts w:ascii="Times New Roman" w:hAnsi="Times New Roman" w:cs="Times New Roman"/>
          <w:sz w:val="24"/>
          <w:szCs w:val="24"/>
        </w:rPr>
        <w:t>Health</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Organization</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The</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Determinants</w:t>
      </w:r>
      <w:proofErr w:type="spellEnd"/>
      <w:r w:rsidRPr="0087344C">
        <w:rPr>
          <w:rFonts w:ascii="Times New Roman" w:hAnsi="Times New Roman" w:cs="Times New Roman"/>
          <w:sz w:val="24"/>
          <w:szCs w:val="24"/>
        </w:rPr>
        <w:t xml:space="preserve"> of Active </w:t>
      </w:r>
      <w:proofErr w:type="spellStart"/>
      <w:r w:rsidRPr="0087344C">
        <w:rPr>
          <w:rFonts w:ascii="Times New Roman" w:hAnsi="Times New Roman" w:cs="Times New Roman"/>
          <w:sz w:val="24"/>
          <w:szCs w:val="24"/>
        </w:rPr>
        <w:t>Ageing</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Understanding</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the</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Evidence</w:t>
      </w:r>
      <w:proofErr w:type="spellEnd"/>
      <w:r w:rsidRPr="0087344C">
        <w:rPr>
          <w:rFonts w:ascii="Times New Roman" w:hAnsi="Times New Roman" w:cs="Times New Roman"/>
          <w:sz w:val="24"/>
          <w:szCs w:val="24"/>
        </w:rPr>
        <w:t xml:space="preserve"> 2007. Active </w:t>
      </w:r>
      <w:proofErr w:type="spellStart"/>
      <w:r w:rsidRPr="0087344C">
        <w:rPr>
          <w:rFonts w:ascii="Times New Roman" w:hAnsi="Times New Roman" w:cs="Times New Roman"/>
          <w:sz w:val="24"/>
          <w:szCs w:val="24"/>
        </w:rPr>
        <w:t>Ageing</w:t>
      </w:r>
      <w:proofErr w:type="spellEnd"/>
      <w:r w:rsidRPr="0087344C">
        <w:rPr>
          <w:rFonts w:ascii="Times New Roman" w:hAnsi="Times New Roman" w:cs="Times New Roman"/>
          <w:sz w:val="24"/>
          <w:szCs w:val="24"/>
        </w:rPr>
        <w:t xml:space="preserve">: A </w:t>
      </w:r>
      <w:proofErr w:type="spellStart"/>
      <w:r w:rsidRPr="0087344C">
        <w:rPr>
          <w:rFonts w:ascii="Times New Roman" w:hAnsi="Times New Roman" w:cs="Times New Roman"/>
          <w:sz w:val="24"/>
          <w:szCs w:val="24"/>
        </w:rPr>
        <w:t>Policy</w:t>
      </w:r>
      <w:proofErr w:type="spellEnd"/>
      <w:r w:rsidRPr="0087344C">
        <w:rPr>
          <w:rFonts w:ascii="Times New Roman" w:hAnsi="Times New Roman" w:cs="Times New Roman"/>
          <w:sz w:val="24"/>
          <w:szCs w:val="24"/>
        </w:rPr>
        <w:t xml:space="preserve"> Framework </w:t>
      </w:r>
      <w:proofErr w:type="spellStart"/>
      <w:r w:rsidRPr="0087344C">
        <w:rPr>
          <w:rFonts w:ascii="Times New Roman" w:hAnsi="Times New Roman" w:cs="Times New Roman"/>
          <w:sz w:val="24"/>
          <w:szCs w:val="24"/>
        </w:rPr>
        <w:t>Geneva</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Retrieved</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July</w:t>
      </w:r>
      <w:proofErr w:type="spellEnd"/>
      <w:r w:rsidRPr="0087344C">
        <w:rPr>
          <w:rFonts w:ascii="Times New Roman" w:hAnsi="Times New Roman" w:cs="Times New Roman"/>
          <w:sz w:val="24"/>
          <w:szCs w:val="24"/>
        </w:rPr>
        <w:t xml:space="preserve"> 31, 2017, </w:t>
      </w:r>
      <w:proofErr w:type="spellStart"/>
      <w:r w:rsidRPr="0087344C">
        <w:rPr>
          <w:rFonts w:ascii="Times New Roman" w:hAnsi="Times New Roman" w:cs="Times New Roman"/>
          <w:sz w:val="24"/>
          <w:szCs w:val="24"/>
        </w:rPr>
        <w:t>from</w:t>
      </w:r>
      <w:proofErr w:type="spellEnd"/>
      <w:r w:rsidRPr="0087344C">
        <w:rPr>
          <w:rFonts w:ascii="Times New Roman" w:hAnsi="Times New Roman" w:cs="Times New Roman"/>
          <w:sz w:val="24"/>
          <w:szCs w:val="24"/>
        </w:rPr>
        <w:t xml:space="preserve"> </w:t>
      </w:r>
      <w:hyperlink r:id="rId8" w:history="1">
        <w:r w:rsidRPr="0087344C">
          <w:rPr>
            <w:rFonts w:ascii="Times New Roman" w:hAnsi="Times New Roman" w:cs="Times New Roman"/>
            <w:color w:val="0563C1" w:themeColor="hyperlink"/>
            <w:sz w:val="24"/>
            <w:szCs w:val="24"/>
            <w:u w:val="single"/>
          </w:rPr>
          <w:t>http://www.who.int/ageing</w:t>
        </w:r>
      </w:hyperlink>
    </w:p>
    <w:p w14:paraId="7BA83D30" w14:textId="77777777" w:rsidR="0087344C" w:rsidRPr="0087344C" w:rsidRDefault="0087344C" w:rsidP="0087344C">
      <w:pPr>
        <w:pStyle w:val="ListeParagraf"/>
        <w:numPr>
          <w:ilvl w:val="0"/>
          <w:numId w:val="2"/>
        </w:numPr>
        <w:spacing w:after="0" w:line="360" w:lineRule="auto"/>
        <w:jc w:val="both"/>
        <w:rPr>
          <w:rFonts w:ascii="Times New Roman" w:hAnsi="Times New Roman" w:cs="Times New Roman"/>
          <w:sz w:val="24"/>
          <w:szCs w:val="24"/>
        </w:rPr>
      </w:pPr>
      <w:r w:rsidRPr="0087344C">
        <w:rPr>
          <w:rFonts w:ascii="Times New Roman" w:hAnsi="Times New Roman" w:cs="Times New Roman"/>
          <w:sz w:val="24"/>
          <w:szCs w:val="24"/>
        </w:rPr>
        <w:t xml:space="preserve">Berkman, </w:t>
      </w:r>
      <w:proofErr w:type="spellStart"/>
      <w:r w:rsidRPr="0087344C">
        <w:rPr>
          <w:rFonts w:ascii="Times New Roman" w:hAnsi="Times New Roman" w:cs="Times New Roman"/>
          <w:sz w:val="24"/>
          <w:szCs w:val="24"/>
        </w:rPr>
        <w:t>N.</w:t>
      </w:r>
      <w:proofErr w:type="gramStart"/>
      <w:r w:rsidRPr="0087344C">
        <w:rPr>
          <w:rFonts w:ascii="Times New Roman" w:hAnsi="Times New Roman" w:cs="Times New Roman"/>
          <w:sz w:val="24"/>
          <w:szCs w:val="24"/>
        </w:rPr>
        <w:t>D.Stacey</w:t>
      </w:r>
      <w:proofErr w:type="spellEnd"/>
      <w:proofErr w:type="gramEnd"/>
      <w:r w:rsidRPr="0087344C">
        <w:rPr>
          <w:rFonts w:ascii="Times New Roman" w:hAnsi="Times New Roman" w:cs="Times New Roman"/>
          <w:sz w:val="24"/>
          <w:szCs w:val="24"/>
        </w:rPr>
        <w:t xml:space="preserve">, L. </w:t>
      </w:r>
      <w:proofErr w:type="spellStart"/>
      <w:r w:rsidRPr="0087344C">
        <w:rPr>
          <w:rFonts w:ascii="Times New Roman" w:hAnsi="Times New Roman" w:cs="Times New Roman"/>
          <w:sz w:val="24"/>
          <w:szCs w:val="24"/>
        </w:rPr>
        <w:t>Sheridan</w:t>
      </w:r>
      <w:proofErr w:type="spellEnd"/>
      <w:r w:rsidRPr="0087344C">
        <w:rPr>
          <w:rFonts w:ascii="Times New Roman" w:hAnsi="Times New Roman" w:cs="Times New Roman"/>
          <w:sz w:val="24"/>
          <w:szCs w:val="24"/>
        </w:rPr>
        <w:t xml:space="preserve">, K.E. </w:t>
      </w:r>
      <w:proofErr w:type="spellStart"/>
      <w:r w:rsidRPr="0087344C">
        <w:rPr>
          <w:rFonts w:ascii="Times New Roman" w:hAnsi="Times New Roman" w:cs="Times New Roman"/>
          <w:sz w:val="24"/>
          <w:szCs w:val="24"/>
        </w:rPr>
        <w:t>Donahue</w:t>
      </w:r>
      <w:proofErr w:type="spellEnd"/>
      <w:r w:rsidRPr="0087344C">
        <w:rPr>
          <w:rFonts w:ascii="Times New Roman" w:hAnsi="Times New Roman" w:cs="Times New Roman"/>
          <w:sz w:val="24"/>
          <w:szCs w:val="24"/>
        </w:rPr>
        <w:t xml:space="preserve">, D.J. </w:t>
      </w:r>
      <w:proofErr w:type="spellStart"/>
      <w:r w:rsidRPr="0087344C">
        <w:rPr>
          <w:rFonts w:ascii="Times New Roman" w:hAnsi="Times New Roman" w:cs="Times New Roman"/>
          <w:sz w:val="24"/>
          <w:szCs w:val="24"/>
        </w:rPr>
        <w:t>Halpern</w:t>
      </w:r>
      <w:proofErr w:type="spellEnd"/>
      <w:r w:rsidRPr="0087344C">
        <w:rPr>
          <w:rFonts w:ascii="Times New Roman" w:hAnsi="Times New Roman" w:cs="Times New Roman"/>
          <w:sz w:val="24"/>
          <w:szCs w:val="24"/>
        </w:rPr>
        <w:t xml:space="preserve">, A.V., Karen C., </w:t>
      </w:r>
      <w:proofErr w:type="spellStart"/>
      <w:r w:rsidRPr="0087344C">
        <w:rPr>
          <w:rFonts w:ascii="Times New Roman" w:hAnsi="Times New Roman" w:cs="Times New Roman"/>
          <w:sz w:val="24"/>
          <w:szCs w:val="24"/>
        </w:rPr>
        <w:t>Audrey</w:t>
      </w:r>
      <w:proofErr w:type="spellEnd"/>
      <w:r w:rsidRPr="0087344C">
        <w:rPr>
          <w:rFonts w:ascii="Times New Roman" w:hAnsi="Times New Roman" w:cs="Times New Roman"/>
          <w:sz w:val="24"/>
          <w:szCs w:val="24"/>
        </w:rPr>
        <w:t xml:space="preserve"> H. et al. (2011). </w:t>
      </w:r>
      <w:proofErr w:type="spellStart"/>
      <w:r w:rsidRPr="0087344C">
        <w:rPr>
          <w:rFonts w:ascii="Times New Roman" w:hAnsi="Times New Roman" w:cs="Times New Roman"/>
          <w:sz w:val="24"/>
          <w:szCs w:val="24"/>
        </w:rPr>
        <w:t>Health</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literacy</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interventions</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and</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outcomes</w:t>
      </w:r>
      <w:proofErr w:type="spellEnd"/>
      <w:r w:rsidRPr="0087344C">
        <w:rPr>
          <w:rFonts w:ascii="Times New Roman" w:hAnsi="Times New Roman" w:cs="Times New Roman"/>
          <w:sz w:val="24"/>
          <w:szCs w:val="24"/>
        </w:rPr>
        <w:t xml:space="preserve">: An </w:t>
      </w:r>
      <w:proofErr w:type="spellStart"/>
      <w:r w:rsidRPr="0087344C">
        <w:rPr>
          <w:rFonts w:ascii="Times New Roman" w:hAnsi="Times New Roman" w:cs="Times New Roman"/>
          <w:sz w:val="24"/>
          <w:szCs w:val="24"/>
        </w:rPr>
        <w:t>updated</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systematic</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review</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Evidence</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report</w:t>
      </w:r>
      <w:proofErr w:type="spellEnd"/>
      <w:r w:rsidRPr="0087344C">
        <w:rPr>
          <w:rFonts w:ascii="Times New Roman" w:hAnsi="Times New Roman" w:cs="Times New Roman"/>
          <w:sz w:val="24"/>
          <w:szCs w:val="24"/>
        </w:rPr>
        <w:t>/</w:t>
      </w:r>
      <w:proofErr w:type="spellStart"/>
      <w:r w:rsidRPr="0087344C">
        <w:rPr>
          <w:rFonts w:ascii="Times New Roman" w:hAnsi="Times New Roman" w:cs="Times New Roman"/>
          <w:sz w:val="24"/>
          <w:szCs w:val="24"/>
        </w:rPr>
        <w:t>technology</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assesment</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no</w:t>
      </w:r>
      <w:proofErr w:type="spellEnd"/>
      <w:r w:rsidRPr="0087344C">
        <w:rPr>
          <w:rFonts w:ascii="Times New Roman" w:hAnsi="Times New Roman" w:cs="Times New Roman"/>
          <w:sz w:val="24"/>
          <w:szCs w:val="24"/>
        </w:rPr>
        <w:t>. 199. (</w:t>
      </w:r>
      <w:proofErr w:type="spellStart"/>
      <w:r w:rsidRPr="0087344C">
        <w:rPr>
          <w:rFonts w:ascii="Times New Roman" w:hAnsi="Times New Roman" w:cs="Times New Roman"/>
          <w:sz w:val="24"/>
          <w:szCs w:val="24"/>
        </w:rPr>
        <w:t>prepared</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by</w:t>
      </w:r>
      <w:proofErr w:type="spellEnd"/>
      <w:r w:rsidRPr="0087344C">
        <w:rPr>
          <w:rFonts w:ascii="Times New Roman" w:hAnsi="Times New Roman" w:cs="Times New Roman"/>
          <w:sz w:val="24"/>
          <w:szCs w:val="24"/>
        </w:rPr>
        <w:t xml:space="preserve"> RTI International–</w:t>
      </w:r>
      <w:proofErr w:type="spellStart"/>
      <w:r w:rsidRPr="0087344C">
        <w:rPr>
          <w:rFonts w:ascii="Times New Roman" w:hAnsi="Times New Roman" w:cs="Times New Roman"/>
          <w:sz w:val="24"/>
          <w:szCs w:val="24"/>
        </w:rPr>
        <w:t>University</w:t>
      </w:r>
      <w:proofErr w:type="spellEnd"/>
      <w:r w:rsidRPr="0087344C">
        <w:rPr>
          <w:rFonts w:ascii="Times New Roman" w:hAnsi="Times New Roman" w:cs="Times New Roman"/>
          <w:sz w:val="24"/>
          <w:szCs w:val="24"/>
        </w:rPr>
        <w:t xml:space="preserve"> of North Carolina </w:t>
      </w:r>
      <w:proofErr w:type="spellStart"/>
      <w:r w:rsidRPr="0087344C">
        <w:rPr>
          <w:rFonts w:ascii="Times New Roman" w:hAnsi="Times New Roman" w:cs="Times New Roman"/>
          <w:sz w:val="24"/>
          <w:szCs w:val="24"/>
        </w:rPr>
        <w:t>EvidenceBased</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Practice</w:t>
      </w:r>
      <w:proofErr w:type="spellEnd"/>
      <w:r w:rsidRPr="0087344C">
        <w:rPr>
          <w:rFonts w:ascii="Times New Roman" w:hAnsi="Times New Roman" w:cs="Times New Roman"/>
          <w:sz w:val="24"/>
          <w:szCs w:val="24"/>
        </w:rPr>
        <w:t xml:space="preserve"> Center </w:t>
      </w:r>
      <w:proofErr w:type="spellStart"/>
      <w:r w:rsidRPr="0087344C">
        <w:rPr>
          <w:rFonts w:ascii="Times New Roman" w:hAnsi="Times New Roman" w:cs="Times New Roman"/>
          <w:sz w:val="24"/>
          <w:szCs w:val="24"/>
        </w:rPr>
        <w:t>under</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contract</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no</w:t>
      </w:r>
      <w:proofErr w:type="spellEnd"/>
      <w:r w:rsidRPr="0087344C">
        <w:rPr>
          <w:rFonts w:ascii="Times New Roman" w:hAnsi="Times New Roman" w:cs="Times New Roman"/>
          <w:sz w:val="24"/>
          <w:szCs w:val="24"/>
        </w:rPr>
        <w:t xml:space="preserve">. 290-2007-10056-i.) AHRQ </w:t>
      </w:r>
      <w:proofErr w:type="spellStart"/>
      <w:r w:rsidRPr="0087344C">
        <w:rPr>
          <w:rFonts w:ascii="Times New Roman" w:hAnsi="Times New Roman" w:cs="Times New Roman"/>
          <w:sz w:val="24"/>
          <w:szCs w:val="24"/>
        </w:rPr>
        <w:t>publication</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number</w:t>
      </w:r>
      <w:proofErr w:type="spellEnd"/>
      <w:r w:rsidRPr="0087344C">
        <w:rPr>
          <w:rFonts w:ascii="Times New Roman" w:hAnsi="Times New Roman" w:cs="Times New Roman"/>
          <w:sz w:val="24"/>
          <w:szCs w:val="24"/>
        </w:rPr>
        <w:t xml:space="preserve"> 11-e006. </w:t>
      </w:r>
      <w:proofErr w:type="spellStart"/>
      <w:r w:rsidRPr="0087344C">
        <w:rPr>
          <w:rFonts w:ascii="Times New Roman" w:hAnsi="Times New Roman" w:cs="Times New Roman"/>
          <w:sz w:val="24"/>
          <w:szCs w:val="24"/>
        </w:rPr>
        <w:t>Rockville</w:t>
      </w:r>
      <w:proofErr w:type="spellEnd"/>
      <w:r w:rsidRPr="0087344C">
        <w:rPr>
          <w:rFonts w:ascii="Times New Roman" w:hAnsi="Times New Roman" w:cs="Times New Roman"/>
          <w:sz w:val="24"/>
          <w:szCs w:val="24"/>
        </w:rPr>
        <w:t xml:space="preserve">, MD: </w:t>
      </w:r>
      <w:proofErr w:type="spellStart"/>
      <w:r w:rsidRPr="0087344C">
        <w:rPr>
          <w:rFonts w:ascii="Times New Roman" w:hAnsi="Times New Roman" w:cs="Times New Roman"/>
          <w:sz w:val="24"/>
          <w:szCs w:val="24"/>
        </w:rPr>
        <w:t>Agency</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for</w:t>
      </w:r>
      <w:proofErr w:type="spellEnd"/>
      <w:r w:rsidRPr="0087344C">
        <w:rPr>
          <w:rFonts w:ascii="Times New Roman" w:hAnsi="Times New Roman" w:cs="Times New Roman"/>
          <w:sz w:val="24"/>
          <w:szCs w:val="24"/>
        </w:rPr>
        <w:t xml:space="preserve"> Healthcare </w:t>
      </w:r>
      <w:proofErr w:type="spellStart"/>
      <w:r w:rsidRPr="0087344C">
        <w:rPr>
          <w:rFonts w:ascii="Times New Roman" w:hAnsi="Times New Roman" w:cs="Times New Roman"/>
          <w:sz w:val="24"/>
          <w:szCs w:val="24"/>
        </w:rPr>
        <w:t>Research</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and</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Quality</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Evidence</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report</w:t>
      </w:r>
      <w:proofErr w:type="spellEnd"/>
    </w:p>
    <w:p w14:paraId="5A98C6B7" w14:textId="66FE569D" w:rsidR="0087344C" w:rsidRPr="0087344C" w:rsidRDefault="0087344C" w:rsidP="004F44CC">
      <w:pPr>
        <w:pStyle w:val="ListeParagraf"/>
        <w:numPr>
          <w:ilvl w:val="0"/>
          <w:numId w:val="2"/>
        </w:numPr>
        <w:spacing w:after="0" w:line="360" w:lineRule="auto"/>
        <w:jc w:val="both"/>
        <w:rPr>
          <w:rFonts w:ascii="Times New Roman" w:hAnsi="Times New Roman" w:cs="Times New Roman"/>
          <w:noProof/>
          <w:sz w:val="24"/>
          <w:szCs w:val="24"/>
          <w:lang w:val="en-US"/>
        </w:rPr>
      </w:pPr>
      <w:proofErr w:type="spellStart"/>
      <w:r w:rsidRPr="0053583E">
        <w:rPr>
          <w:rFonts w:ascii="Times New Roman" w:hAnsi="Times New Roman" w:cs="Times New Roman"/>
          <w:sz w:val="24"/>
          <w:szCs w:val="24"/>
        </w:rPr>
        <w:t>Safeer</w:t>
      </w:r>
      <w:proofErr w:type="spellEnd"/>
      <w:r w:rsidRPr="0053583E">
        <w:rPr>
          <w:rFonts w:ascii="Times New Roman" w:hAnsi="Times New Roman" w:cs="Times New Roman"/>
          <w:sz w:val="24"/>
          <w:szCs w:val="24"/>
        </w:rPr>
        <w:t xml:space="preserve">, R. S. &amp; Keenan, </w:t>
      </w:r>
      <w:proofErr w:type="gramStart"/>
      <w:r w:rsidRPr="0053583E">
        <w:rPr>
          <w:rFonts w:ascii="Times New Roman" w:hAnsi="Times New Roman" w:cs="Times New Roman"/>
          <w:sz w:val="24"/>
          <w:szCs w:val="24"/>
        </w:rPr>
        <w:t>J.(</w:t>
      </w:r>
      <w:proofErr w:type="gramEnd"/>
      <w:r w:rsidRPr="0053583E">
        <w:rPr>
          <w:rFonts w:ascii="Times New Roman" w:hAnsi="Times New Roman" w:cs="Times New Roman"/>
          <w:sz w:val="24"/>
          <w:szCs w:val="24"/>
        </w:rPr>
        <w:t xml:space="preserve">2005). </w:t>
      </w:r>
      <w:proofErr w:type="spellStart"/>
      <w:r w:rsidRPr="0053583E">
        <w:rPr>
          <w:rFonts w:ascii="Times New Roman" w:hAnsi="Times New Roman" w:cs="Times New Roman"/>
          <w:sz w:val="24"/>
          <w:szCs w:val="24"/>
        </w:rPr>
        <w:t>Health</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Literacy</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The</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Gap</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Between</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Physicians</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and</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Patients</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American</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Family</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Physician</w:t>
      </w:r>
      <w:proofErr w:type="spellEnd"/>
      <w:r w:rsidRPr="0053583E">
        <w:rPr>
          <w:rFonts w:ascii="Times New Roman" w:hAnsi="Times New Roman" w:cs="Times New Roman"/>
          <w:sz w:val="24"/>
          <w:szCs w:val="24"/>
        </w:rPr>
        <w:t>, LXXII, 3: 463-468.</w:t>
      </w:r>
    </w:p>
    <w:p w14:paraId="17DEC358" w14:textId="7DD9FE4B" w:rsidR="0087344C" w:rsidRPr="0087344C" w:rsidRDefault="0087344C" w:rsidP="0087344C">
      <w:pPr>
        <w:pStyle w:val="ListeParagraf"/>
        <w:numPr>
          <w:ilvl w:val="0"/>
          <w:numId w:val="2"/>
        </w:numPr>
        <w:spacing w:after="0" w:line="360" w:lineRule="auto"/>
        <w:jc w:val="both"/>
        <w:rPr>
          <w:rFonts w:ascii="Times New Roman" w:hAnsi="Times New Roman" w:cs="Times New Roman"/>
          <w:sz w:val="24"/>
          <w:szCs w:val="24"/>
        </w:rPr>
      </w:pPr>
      <w:proofErr w:type="spellStart"/>
      <w:r w:rsidRPr="0087344C">
        <w:rPr>
          <w:rFonts w:ascii="Times New Roman" w:hAnsi="Times New Roman" w:cs="Times New Roman"/>
          <w:sz w:val="24"/>
          <w:szCs w:val="24"/>
        </w:rPr>
        <w:t>Parker</w:t>
      </w:r>
      <w:proofErr w:type="spellEnd"/>
      <w:r w:rsidRPr="0087344C">
        <w:rPr>
          <w:rFonts w:ascii="Times New Roman" w:hAnsi="Times New Roman" w:cs="Times New Roman"/>
          <w:sz w:val="24"/>
          <w:szCs w:val="24"/>
        </w:rPr>
        <w:t xml:space="preserve">, R. M. Baker, D. </w:t>
      </w:r>
      <w:proofErr w:type="spellStart"/>
      <w:proofErr w:type="gramStart"/>
      <w:r w:rsidRPr="0087344C">
        <w:rPr>
          <w:rFonts w:ascii="Times New Roman" w:hAnsi="Times New Roman" w:cs="Times New Roman"/>
          <w:sz w:val="24"/>
          <w:szCs w:val="24"/>
        </w:rPr>
        <w:t>W.Williams</w:t>
      </w:r>
      <w:proofErr w:type="spellEnd"/>
      <w:proofErr w:type="gramEnd"/>
      <w:r w:rsidRPr="0087344C">
        <w:rPr>
          <w:rFonts w:ascii="Times New Roman" w:hAnsi="Times New Roman" w:cs="Times New Roman"/>
          <w:sz w:val="24"/>
          <w:szCs w:val="24"/>
        </w:rPr>
        <w:t xml:space="preserve">, M. V. &amp; </w:t>
      </w:r>
      <w:proofErr w:type="spellStart"/>
      <w:r w:rsidRPr="0087344C">
        <w:rPr>
          <w:rFonts w:ascii="Times New Roman" w:hAnsi="Times New Roman" w:cs="Times New Roman"/>
          <w:sz w:val="24"/>
          <w:szCs w:val="24"/>
        </w:rPr>
        <w:t>Nurss</w:t>
      </w:r>
      <w:proofErr w:type="spellEnd"/>
      <w:r w:rsidRPr="0087344C">
        <w:rPr>
          <w:rFonts w:ascii="Times New Roman" w:hAnsi="Times New Roman" w:cs="Times New Roman"/>
          <w:sz w:val="24"/>
          <w:szCs w:val="24"/>
        </w:rPr>
        <w:t xml:space="preserve"> J. R. (1995). </w:t>
      </w:r>
      <w:proofErr w:type="spellStart"/>
      <w:r w:rsidRPr="0087344C">
        <w:rPr>
          <w:rFonts w:ascii="Times New Roman" w:hAnsi="Times New Roman" w:cs="Times New Roman"/>
          <w:sz w:val="24"/>
          <w:szCs w:val="24"/>
        </w:rPr>
        <w:t>The</w:t>
      </w:r>
      <w:proofErr w:type="spellEnd"/>
      <w:r w:rsidRPr="0087344C">
        <w:rPr>
          <w:rFonts w:ascii="Times New Roman" w:hAnsi="Times New Roman" w:cs="Times New Roman"/>
          <w:sz w:val="24"/>
          <w:szCs w:val="24"/>
        </w:rPr>
        <w:t xml:space="preserve"> test of </w:t>
      </w:r>
      <w:proofErr w:type="spellStart"/>
      <w:r w:rsidRPr="0087344C">
        <w:rPr>
          <w:rFonts w:ascii="Times New Roman" w:hAnsi="Times New Roman" w:cs="Times New Roman"/>
          <w:sz w:val="24"/>
          <w:szCs w:val="24"/>
        </w:rPr>
        <w:t>functional</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health</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literacy</w:t>
      </w:r>
      <w:proofErr w:type="spellEnd"/>
      <w:r w:rsidRPr="0087344C">
        <w:rPr>
          <w:rFonts w:ascii="Times New Roman" w:hAnsi="Times New Roman" w:cs="Times New Roman"/>
          <w:sz w:val="24"/>
          <w:szCs w:val="24"/>
        </w:rPr>
        <w:t xml:space="preserve"> in </w:t>
      </w:r>
      <w:proofErr w:type="spellStart"/>
      <w:r w:rsidRPr="0087344C">
        <w:rPr>
          <w:rFonts w:ascii="Times New Roman" w:hAnsi="Times New Roman" w:cs="Times New Roman"/>
          <w:sz w:val="24"/>
          <w:szCs w:val="24"/>
        </w:rPr>
        <w:t>adults</w:t>
      </w:r>
      <w:proofErr w:type="spellEnd"/>
      <w:r w:rsidRPr="0087344C">
        <w:rPr>
          <w:rFonts w:ascii="Times New Roman" w:hAnsi="Times New Roman" w:cs="Times New Roman"/>
          <w:sz w:val="24"/>
          <w:szCs w:val="24"/>
        </w:rPr>
        <w:t xml:space="preserve">: a </w:t>
      </w:r>
      <w:proofErr w:type="spellStart"/>
      <w:r w:rsidRPr="0087344C">
        <w:rPr>
          <w:rFonts w:ascii="Times New Roman" w:hAnsi="Times New Roman" w:cs="Times New Roman"/>
          <w:sz w:val="24"/>
          <w:szCs w:val="24"/>
        </w:rPr>
        <w:t>new</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instrument</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for</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measuring</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patients</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literacy</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skills</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Journal</w:t>
      </w:r>
      <w:proofErr w:type="spellEnd"/>
      <w:r w:rsidRPr="0087344C">
        <w:rPr>
          <w:rFonts w:ascii="Times New Roman" w:hAnsi="Times New Roman" w:cs="Times New Roman"/>
          <w:sz w:val="24"/>
          <w:szCs w:val="24"/>
        </w:rPr>
        <w:t xml:space="preserve"> of General </w:t>
      </w:r>
      <w:proofErr w:type="spellStart"/>
      <w:r w:rsidRPr="0087344C">
        <w:rPr>
          <w:rFonts w:ascii="Times New Roman" w:hAnsi="Times New Roman" w:cs="Times New Roman"/>
          <w:sz w:val="24"/>
          <w:szCs w:val="24"/>
        </w:rPr>
        <w:t>Internal</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Medicine</w:t>
      </w:r>
      <w:proofErr w:type="spellEnd"/>
      <w:r w:rsidRPr="0087344C">
        <w:rPr>
          <w:rFonts w:ascii="Times New Roman" w:hAnsi="Times New Roman" w:cs="Times New Roman"/>
          <w:sz w:val="24"/>
          <w:szCs w:val="24"/>
        </w:rPr>
        <w:t xml:space="preserve">, 10 (10), 537-41. Aktaran </w:t>
      </w:r>
      <w:proofErr w:type="spellStart"/>
      <w:r w:rsidRPr="0087344C">
        <w:rPr>
          <w:rFonts w:ascii="Times New Roman" w:hAnsi="Times New Roman" w:cs="Times New Roman"/>
          <w:sz w:val="24"/>
          <w:szCs w:val="24"/>
        </w:rPr>
        <w:t>Christmann</w:t>
      </w:r>
      <w:proofErr w:type="spellEnd"/>
      <w:r w:rsidRPr="0087344C">
        <w:rPr>
          <w:rFonts w:ascii="Times New Roman" w:hAnsi="Times New Roman" w:cs="Times New Roman"/>
          <w:sz w:val="24"/>
          <w:szCs w:val="24"/>
        </w:rPr>
        <w:t xml:space="preserve">, S. (2005). </w:t>
      </w:r>
      <w:proofErr w:type="spellStart"/>
      <w:r w:rsidRPr="0087344C">
        <w:rPr>
          <w:rFonts w:ascii="Times New Roman" w:hAnsi="Times New Roman" w:cs="Times New Roman"/>
          <w:sz w:val="24"/>
          <w:szCs w:val="24"/>
        </w:rPr>
        <w:t>Health</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literacy</w:t>
      </w:r>
      <w:proofErr w:type="spellEnd"/>
      <w:r w:rsidRPr="0087344C">
        <w:rPr>
          <w:rFonts w:ascii="Times New Roman" w:hAnsi="Times New Roman" w:cs="Times New Roman"/>
          <w:sz w:val="24"/>
          <w:szCs w:val="24"/>
        </w:rPr>
        <w:t xml:space="preserve"> </w:t>
      </w:r>
      <w:proofErr w:type="spellStart"/>
      <w:r w:rsidRPr="0087344C">
        <w:rPr>
          <w:rFonts w:ascii="Times New Roman" w:hAnsi="Times New Roman" w:cs="Times New Roman"/>
          <w:sz w:val="24"/>
          <w:szCs w:val="24"/>
        </w:rPr>
        <w:t>and</w:t>
      </w:r>
      <w:proofErr w:type="spellEnd"/>
      <w:r w:rsidRPr="0087344C">
        <w:rPr>
          <w:rFonts w:ascii="Times New Roman" w:hAnsi="Times New Roman" w:cs="Times New Roman"/>
          <w:sz w:val="24"/>
          <w:szCs w:val="24"/>
        </w:rPr>
        <w:t xml:space="preserve"> internet. </w:t>
      </w:r>
      <w:proofErr w:type="spellStart"/>
      <w:r w:rsidRPr="0087344C">
        <w:rPr>
          <w:rFonts w:ascii="Times New Roman" w:hAnsi="Times New Roman" w:cs="Times New Roman"/>
          <w:sz w:val="24"/>
          <w:szCs w:val="24"/>
        </w:rPr>
        <w:t>EuroHealthNet</w:t>
      </w:r>
      <w:proofErr w:type="spellEnd"/>
      <w:r w:rsidRPr="0087344C">
        <w:rPr>
          <w:rFonts w:ascii="Times New Roman" w:hAnsi="Times New Roman" w:cs="Times New Roman"/>
          <w:sz w:val="24"/>
          <w:szCs w:val="24"/>
        </w:rPr>
        <w:t>, s.3-7</w:t>
      </w:r>
    </w:p>
    <w:p w14:paraId="464DC05E" w14:textId="4D801EAA" w:rsidR="0087344C" w:rsidRPr="0087344C" w:rsidRDefault="0087344C" w:rsidP="004F44CC">
      <w:pPr>
        <w:pStyle w:val="ListeParagraf"/>
        <w:numPr>
          <w:ilvl w:val="0"/>
          <w:numId w:val="2"/>
        </w:numPr>
        <w:spacing w:after="0" w:line="360" w:lineRule="auto"/>
        <w:jc w:val="both"/>
        <w:rPr>
          <w:rFonts w:ascii="Times New Roman" w:hAnsi="Times New Roman" w:cs="Times New Roman"/>
          <w:noProof/>
          <w:sz w:val="24"/>
          <w:szCs w:val="24"/>
          <w:lang w:val="en-US"/>
        </w:rPr>
      </w:pPr>
      <w:proofErr w:type="spellStart"/>
      <w:r w:rsidRPr="0053583E">
        <w:rPr>
          <w:rFonts w:ascii="Times New Roman" w:hAnsi="Times New Roman" w:cs="Times New Roman"/>
          <w:sz w:val="24"/>
          <w:szCs w:val="24"/>
        </w:rPr>
        <w:t>Nielsen-Bohlman</w:t>
      </w:r>
      <w:proofErr w:type="spellEnd"/>
      <w:r w:rsidRPr="0053583E">
        <w:rPr>
          <w:rFonts w:ascii="Times New Roman" w:hAnsi="Times New Roman" w:cs="Times New Roman"/>
          <w:sz w:val="24"/>
          <w:szCs w:val="24"/>
        </w:rPr>
        <w:t xml:space="preserve">, L. Panzer, </w:t>
      </w:r>
      <w:proofErr w:type="spellStart"/>
      <w:r w:rsidRPr="0053583E">
        <w:rPr>
          <w:rFonts w:ascii="Times New Roman" w:hAnsi="Times New Roman" w:cs="Times New Roman"/>
          <w:sz w:val="24"/>
          <w:szCs w:val="24"/>
        </w:rPr>
        <w:t>A.</w:t>
      </w:r>
      <w:proofErr w:type="gramStart"/>
      <w:r w:rsidRPr="0053583E">
        <w:rPr>
          <w:rFonts w:ascii="Times New Roman" w:hAnsi="Times New Roman" w:cs="Times New Roman"/>
          <w:sz w:val="24"/>
          <w:szCs w:val="24"/>
        </w:rPr>
        <w:t>M.Kindig</w:t>
      </w:r>
      <w:proofErr w:type="spellEnd"/>
      <w:proofErr w:type="gramEnd"/>
      <w:r w:rsidRPr="0053583E">
        <w:rPr>
          <w:rFonts w:ascii="Times New Roman" w:hAnsi="Times New Roman" w:cs="Times New Roman"/>
          <w:sz w:val="24"/>
          <w:szCs w:val="24"/>
        </w:rPr>
        <w:t xml:space="preserve">, D.A. (2004). </w:t>
      </w:r>
      <w:proofErr w:type="spellStart"/>
      <w:r w:rsidRPr="0053583E">
        <w:rPr>
          <w:rFonts w:ascii="Times New Roman" w:hAnsi="Times New Roman" w:cs="Times New Roman"/>
          <w:sz w:val="24"/>
          <w:szCs w:val="24"/>
        </w:rPr>
        <w:t>Health</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Literacy</w:t>
      </w:r>
      <w:proofErr w:type="spellEnd"/>
      <w:r w:rsidRPr="0053583E">
        <w:rPr>
          <w:rFonts w:ascii="Times New Roman" w:hAnsi="Times New Roman" w:cs="Times New Roman"/>
          <w:sz w:val="24"/>
          <w:szCs w:val="24"/>
        </w:rPr>
        <w:t xml:space="preserve">: A </w:t>
      </w:r>
      <w:proofErr w:type="spellStart"/>
      <w:r w:rsidRPr="0053583E">
        <w:rPr>
          <w:rFonts w:ascii="Times New Roman" w:hAnsi="Times New Roman" w:cs="Times New Roman"/>
          <w:sz w:val="24"/>
          <w:szCs w:val="24"/>
        </w:rPr>
        <w:t>Prescription</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To</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End</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Confusion</w:t>
      </w:r>
      <w:proofErr w:type="spellEnd"/>
      <w:r w:rsidRPr="0053583E">
        <w:rPr>
          <w:rFonts w:ascii="Times New Roman" w:hAnsi="Times New Roman" w:cs="Times New Roman"/>
          <w:sz w:val="24"/>
          <w:szCs w:val="24"/>
        </w:rPr>
        <w:t>, Erişim: [www.nap.edu/</w:t>
      </w:r>
      <w:proofErr w:type="spellStart"/>
      <w:r w:rsidRPr="0053583E">
        <w:rPr>
          <w:rFonts w:ascii="Times New Roman" w:hAnsi="Times New Roman" w:cs="Times New Roman"/>
          <w:sz w:val="24"/>
          <w:szCs w:val="24"/>
        </w:rPr>
        <w:t>openbook.php?isbn</w:t>
      </w:r>
      <w:proofErr w:type="spellEnd"/>
      <w:r w:rsidRPr="0053583E">
        <w:rPr>
          <w:rFonts w:ascii="Times New Roman" w:hAnsi="Times New Roman" w:cs="Times New Roman"/>
          <w:sz w:val="24"/>
          <w:szCs w:val="24"/>
        </w:rPr>
        <w:t>=0309091179].</w:t>
      </w:r>
    </w:p>
    <w:p w14:paraId="52992FF3" w14:textId="77777777" w:rsidR="009B3BEC" w:rsidRPr="009B3BEC" w:rsidRDefault="009B3BEC" w:rsidP="009B3BEC">
      <w:pPr>
        <w:pStyle w:val="ListeParagraf"/>
        <w:numPr>
          <w:ilvl w:val="0"/>
          <w:numId w:val="2"/>
        </w:numPr>
        <w:spacing w:after="0" w:line="360" w:lineRule="auto"/>
        <w:jc w:val="both"/>
        <w:rPr>
          <w:rFonts w:ascii="Times New Roman" w:hAnsi="Times New Roman" w:cs="Times New Roman"/>
          <w:sz w:val="24"/>
          <w:szCs w:val="24"/>
        </w:rPr>
      </w:pPr>
      <w:proofErr w:type="spellStart"/>
      <w:r w:rsidRPr="009B3BEC">
        <w:rPr>
          <w:rFonts w:ascii="Times New Roman" w:hAnsi="Times New Roman" w:cs="Times New Roman"/>
          <w:sz w:val="24"/>
          <w:szCs w:val="24"/>
        </w:rPr>
        <w:t>Rudd</w:t>
      </w:r>
      <w:proofErr w:type="spellEnd"/>
      <w:r w:rsidRPr="009B3BEC">
        <w:rPr>
          <w:rFonts w:ascii="Times New Roman" w:hAnsi="Times New Roman" w:cs="Times New Roman"/>
          <w:sz w:val="24"/>
          <w:szCs w:val="24"/>
        </w:rPr>
        <w:t xml:space="preserve"> RE, </w:t>
      </w:r>
      <w:proofErr w:type="spellStart"/>
      <w:r w:rsidRPr="009B3BEC">
        <w:rPr>
          <w:rFonts w:ascii="Times New Roman" w:hAnsi="Times New Roman" w:cs="Times New Roman"/>
          <w:sz w:val="24"/>
          <w:szCs w:val="24"/>
        </w:rPr>
        <w:t>Anderson</w:t>
      </w:r>
      <w:proofErr w:type="spellEnd"/>
      <w:r w:rsidRPr="009B3BEC">
        <w:rPr>
          <w:rFonts w:ascii="Times New Roman" w:hAnsi="Times New Roman" w:cs="Times New Roman"/>
          <w:sz w:val="24"/>
          <w:szCs w:val="24"/>
        </w:rPr>
        <w:t xml:space="preserve"> JE, </w:t>
      </w:r>
      <w:proofErr w:type="spellStart"/>
      <w:r w:rsidRPr="009B3BEC">
        <w:rPr>
          <w:rFonts w:ascii="Times New Roman" w:hAnsi="Times New Roman" w:cs="Times New Roman"/>
          <w:sz w:val="24"/>
          <w:szCs w:val="24"/>
        </w:rPr>
        <w:t>Oppenheimer</w:t>
      </w:r>
      <w:proofErr w:type="spellEnd"/>
      <w:r w:rsidRPr="009B3BEC">
        <w:rPr>
          <w:rFonts w:ascii="Times New Roman" w:hAnsi="Times New Roman" w:cs="Times New Roman"/>
          <w:sz w:val="24"/>
          <w:szCs w:val="24"/>
        </w:rPr>
        <w:t xml:space="preserve"> S, </w:t>
      </w:r>
      <w:proofErr w:type="spellStart"/>
      <w:r w:rsidRPr="009B3BEC">
        <w:rPr>
          <w:rFonts w:ascii="Times New Roman" w:hAnsi="Times New Roman" w:cs="Times New Roman"/>
          <w:sz w:val="24"/>
          <w:szCs w:val="24"/>
        </w:rPr>
        <w:t>Nath</w:t>
      </w:r>
      <w:proofErr w:type="spellEnd"/>
      <w:r w:rsidRPr="009B3BEC">
        <w:rPr>
          <w:rFonts w:ascii="Times New Roman" w:hAnsi="Times New Roman" w:cs="Times New Roman"/>
          <w:sz w:val="24"/>
          <w:szCs w:val="24"/>
        </w:rPr>
        <w:t xml:space="preserve">, </w:t>
      </w:r>
      <w:proofErr w:type="spellStart"/>
      <w:r w:rsidRPr="009B3BEC">
        <w:rPr>
          <w:rFonts w:ascii="Times New Roman" w:hAnsi="Times New Roman" w:cs="Times New Roman"/>
          <w:sz w:val="24"/>
          <w:szCs w:val="24"/>
        </w:rPr>
        <w:t>Green</w:t>
      </w:r>
      <w:proofErr w:type="spellEnd"/>
      <w:r w:rsidRPr="009B3BEC">
        <w:rPr>
          <w:rFonts w:ascii="Times New Roman" w:hAnsi="Times New Roman" w:cs="Times New Roman"/>
          <w:sz w:val="24"/>
          <w:szCs w:val="24"/>
        </w:rPr>
        <w:t xml:space="preserve">, J. (2007) </w:t>
      </w:r>
      <w:proofErr w:type="spellStart"/>
      <w:r w:rsidRPr="009B3BEC">
        <w:rPr>
          <w:rFonts w:ascii="Times New Roman" w:hAnsi="Times New Roman" w:cs="Times New Roman"/>
          <w:sz w:val="24"/>
          <w:szCs w:val="24"/>
        </w:rPr>
        <w:t>Health</w:t>
      </w:r>
      <w:proofErr w:type="spellEnd"/>
      <w:r w:rsidRPr="009B3BEC">
        <w:rPr>
          <w:rFonts w:ascii="Times New Roman" w:hAnsi="Times New Roman" w:cs="Times New Roman"/>
          <w:sz w:val="24"/>
          <w:szCs w:val="24"/>
        </w:rPr>
        <w:t xml:space="preserve"> </w:t>
      </w:r>
      <w:proofErr w:type="spellStart"/>
      <w:r w:rsidRPr="009B3BEC">
        <w:rPr>
          <w:rFonts w:ascii="Times New Roman" w:hAnsi="Times New Roman" w:cs="Times New Roman"/>
          <w:sz w:val="24"/>
          <w:szCs w:val="24"/>
        </w:rPr>
        <w:t>Literacy</w:t>
      </w:r>
      <w:proofErr w:type="spellEnd"/>
      <w:r w:rsidRPr="009B3BEC">
        <w:rPr>
          <w:rFonts w:ascii="Times New Roman" w:hAnsi="Times New Roman" w:cs="Times New Roman"/>
          <w:sz w:val="24"/>
          <w:szCs w:val="24"/>
        </w:rPr>
        <w:t xml:space="preserve">: An Update of </w:t>
      </w:r>
      <w:proofErr w:type="spellStart"/>
      <w:r w:rsidRPr="009B3BEC">
        <w:rPr>
          <w:rFonts w:ascii="Times New Roman" w:hAnsi="Times New Roman" w:cs="Times New Roman"/>
          <w:sz w:val="24"/>
          <w:szCs w:val="24"/>
        </w:rPr>
        <w:t>Medical</w:t>
      </w:r>
      <w:proofErr w:type="spellEnd"/>
      <w:r w:rsidRPr="009B3BEC">
        <w:rPr>
          <w:rFonts w:ascii="Times New Roman" w:hAnsi="Times New Roman" w:cs="Times New Roman"/>
          <w:sz w:val="24"/>
          <w:szCs w:val="24"/>
        </w:rPr>
        <w:t xml:space="preserve"> </w:t>
      </w:r>
      <w:proofErr w:type="spellStart"/>
      <w:r w:rsidRPr="009B3BEC">
        <w:rPr>
          <w:rFonts w:ascii="Times New Roman" w:hAnsi="Times New Roman" w:cs="Times New Roman"/>
          <w:sz w:val="24"/>
          <w:szCs w:val="24"/>
        </w:rPr>
        <w:t>and</w:t>
      </w:r>
      <w:proofErr w:type="spellEnd"/>
      <w:r w:rsidRPr="009B3BEC">
        <w:rPr>
          <w:rFonts w:ascii="Times New Roman" w:hAnsi="Times New Roman" w:cs="Times New Roman"/>
          <w:sz w:val="24"/>
          <w:szCs w:val="24"/>
        </w:rPr>
        <w:t xml:space="preserve"> </w:t>
      </w:r>
      <w:proofErr w:type="spellStart"/>
      <w:r w:rsidRPr="009B3BEC">
        <w:rPr>
          <w:rFonts w:ascii="Times New Roman" w:hAnsi="Times New Roman" w:cs="Times New Roman"/>
          <w:sz w:val="24"/>
          <w:szCs w:val="24"/>
        </w:rPr>
        <w:t>Public</w:t>
      </w:r>
      <w:proofErr w:type="spellEnd"/>
      <w:r w:rsidRPr="009B3BEC">
        <w:rPr>
          <w:rFonts w:ascii="Times New Roman" w:hAnsi="Times New Roman" w:cs="Times New Roman"/>
          <w:sz w:val="24"/>
          <w:szCs w:val="24"/>
        </w:rPr>
        <w:t xml:space="preserve">. </w:t>
      </w:r>
      <w:proofErr w:type="spellStart"/>
      <w:r w:rsidRPr="009B3BEC">
        <w:rPr>
          <w:rFonts w:ascii="Times New Roman" w:hAnsi="Times New Roman" w:cs="Times New Roman"/>
          <w:sz w:val="24"/>
          <w:szCs w:val="24"/>
        </w:rPr>
        <w:t>In</w:t>
      </w:r>
      <w:proofErr w:type="spellEnd"/>
      <w:r w:rsidRPr="009B3BEC">
        <w:rPr>
          <w:rFonts w:ascii="Times New Roman" w:hAnsi="Times New Roman" w:cs="Times New Roman"/>
          <w:sz w:val="24"/>
          <w:szCs w:val="24"/>
        </w:rPr>
        <w:t xml:space="preserve"> </w:t>
      </w:r>
      <w:proofErr w:type="spellStart"/>
      <w:r w:rsidRPr="009B3BEC">
        <w:rPr>
          <w:rFonts w:ascii="Times New Roman" w:hAnsi="Times New Roman" w:cs="Times New Roman"/>
          <w:sz w:val="24"/>
          <w:szCs w:val="24"/>
        </w:rPr>
        <w:t>Review</w:t>
      </w:r>
      <w:proofErr w:type="spellEnd"/>
      <w:r w:rsidRPr="009B3BEC">
        <w:rPr>
          <w:rFonts w:ascii="Times New Roman" w:hAnsi="Times New Roman" w:cs="Times New Roman"/>
          <w:sz w:val="24"/>
          <w:szCs w:val="24"/>
        </w:rPr>
        <w:t xml:space="preserve"> of </w:t>
      </w:r>
      <w:proofErr w:type="spellStart"/>
      <w:r w:rsidRPr="009B3BEC">
        <w:rPr>
          <w:rFonts w:ascii="Times New Roman" w:hAnsi="Times New Roman" w:cs="Times New Roman"/>
          <w:sz w:val="24"/>
          <w:szCs w:val="24"/>
        </w:rPr>
        <w:t>Adult</w:t>
      </w:r>
      <w:proofErr w:type="spellEnd"/>
      <w:r w:rsidRPr="009B3BEC">
        <w:rPr>
          <w:rFonts w:ascii="Times New Roman" w:hAnsi="Times New Roman" w:cs="Times New Roman"/>
          <w:sz w:val="24"/>
          <w:szCs w:val="24"/>
        </w:rPr>
        <w:t xml:space="preserve"> Learning </w:t>
      </w:r>
      <w:proofErr w:type="spellStart"/>
      <w:r w:rsidRPr="009B3BEC">
        <w:rPr>
          <w:rFonts w:ascii="Times New Roman" w:hAnsi="Times New Roman" w:cs="Times New Roman"/>
          <w:sz w:val="24"/>
          <w:szCs w:val="24"/>
        </w:rPr>
        <w:t>and</w:t>
      </w:r>
      <w:proofErr w:type="spellEnd"/>
      <w:r w:rsidRPr="009B3BEC">
        <w:rPr>
          <w:rFonts w:ascii="Times New Roman" w:hAnsi="Times New Roman" w:cs="Times New Roman"/>
          <w:sz w:val="24"/>
          <w:szCs w:val="24"/>
        </w:rPr>
        <w:t xml:space="preserve"> </w:t>
      </w:r>
      <w:proofErr w:type="spellStart"/>
      <w:r w:rsidRPr="009B3BEC">
        <w:rPr>
          <w:rFonts w:ascii="Times New Roman" w:hAnsi="Times New Roman" w:cs="Times New Roman"/>
          <w:sz w:val="24"/>
          <w:szCs w:val="24"/>
        </w:rPr>
        <w:t>Literacy</w:t>
      </w:r>
      <w:proofErr w:type="spellEnd"/>
      <w:r w:rsidRPr="009B3BEC">
        <w:rPr>
          <w:rFonts w:ascii="Times New Roman" w:hAnsi="Times New Roman" w:cs="Times New Roman"/>
          <w:sz w:val="24"/>
          <w:szCs w:val="24"/>
        </w:rPr>
        <w:t xml:space="preserve">. </w:t>
      </w:r>
      <w:proofErr w:type="spellStart"/>
      <w:r w:rsidRPr="009B3BEC">
        <w:rPr>
          <w:rFonts w:ascii="Times New Roman" w:hAnsi="Times New Roman" w:cs="Times New Roman"/>
          <w:sz w:val="24"/>
          <w:szCs w:val="24"/>
        </w:rPr>
        <w:t>Eds</w:t>
      </w:r>
      <w:proofErr w:type="spellEnd"/>
      <w:r w:rsidRPr="009B3BEC">
        <w:rPr>
          <w:rFonts w:ascii="Times New Roman" w:hAnsi="Times New Roman" w:cs="Times New Roman"/>
          <w:sz w:val="24"/>
          <w:szCs w:val="24"/>
        </w:rPr>
        <w:t xml:space="preserve">: </w:t>
      </w:r>
      <w:proofErr w:type="spellStart"/>
      <w:r w:rsidRPr="009B3BEC">
        <w:rPr>
          <w:rFonts w:ascii="Times New Roman" w:hAnsi="Times New Roman" w:cs="Times New Roman"/>
          <w:sz w:val="24"/>
          <w:szCs w:val="24"/>
        </w:rPr>
        <w:t>Comings</w:t>
      </w:r>
      <w:proofErr w:type="spellEnd"/>
      <w:r w:rsidRPr="009B3BEC">
        <w:rPr>
          <w:rFonts w:ascii="Times New Roman" w:hAnsi="Times New Roman" w:cs="Times New Roman"/>
          <w:sz w:val="24"/>
          <w:szCs w:val="24"/>
        </w:rPr>
        <w:t xml:space="preserve"> J, </w:t>
      </w:r>
      <w:proofErr w:type="spellStart"/>
      <w:r w:rsidRPr="009B3BEC">
        <w:rPr>
          <w:rFonts w:ascii="Times New Roman" w:hAnsi="Times New Roman" w:cs="Times New Roman"/>
          <w:sz w:val="24"/>
          <w:szCs w:val="24"/>
        </w:rPr>
        <w:t>Garner</w:t>
      </w:r>
      <w:proofErr w:type="spellEnd"/>
      <w:r w:rsidRPr="009B3BEC">
        <w:rPr>
          <w:rFonts w:ascii="Times New Roman" w:hAnsi="Times New Roman" w:cs="Times New Roman"/>
          <w:sz w:val="24"/>
          <w:szCs w:val="24"/>
        </w:rPr>
        <w:t xml:space="preserve"> B, Smith C, </w:t>
      </w:r>
      <w:proofErr w:type="spellStart"/>
      <w:r w:rsidRPr="009B3BEC">
        <w:rPr>
          <w:rFonts w:ascii="Times New Roman" w:hAnsi="Times New Roman" w:cs="Times New Roman"/>
          <w:sz w:val="24"/>
          <w:szCs w:val="24"/>
        </w:rPr>
        <w:t>Vol</w:t>
      </w:r>
      <w:proofErr w:type="spellEnd"/>
      <w:r w:rsidRPr="009B3BEC">
        <w:rPr>
          <w:rFonts w:ascii="Times New Roman" w:hAnsi="Times New Roman" w:cs="Times New Roman"/>
          <w:sz w:val="24"/>
          <w:szCs w:val="24"/>
        </w:rPr>
        <w:t xml:space="preserve"> 7, </w:t>
      </w:r>
      <w:proofErr w:type="spellStart"/>
      <w:r w:rsidRPr="009B3BEC">
        <w:rPr>
          <w:rFonts w:ascii="Times New Roman" w:hAnsi="Times New Roman" w:cs="Times New Roman"/>
          <w:sz w:val="24"/>
          <w:szCs w:val="24"/>
        </w:rPr>
        <w:t>America</w:t>
      </w:r>
      <w:proofErr w:type="spellEnd"/>
      <w:r w:rsidRPr="009B3BEC">
        <w:rPr>
          <w:rFonts w:ascii="Times New Roman" w:hAnsi="Times New Roman" w:cs="Times New Roman"/>
          <w:sz w:val="24"/>
          <w:szCs w:val="24"/>
        </w:rPr>
        <w:t>, p.175-199.</w:t>
      </w:r>
    </w:p>
    <w:p w14:paraId="47254A61" w14:textId="49B797A8" w:rsidR="0087344C" w:rsidRPr="009B3BEC" w:rsidRDefault="009B3BEC" w:rsidP="004F44CC">
      <w:pPr>
        <w:pStyle w:val="ListeParagraf"/>
        <w:numPr>
          <w:ilvl w:val="0"/>
          <w:numId w:val="2"/>
        </w:numPr>
        <w:spacing w:after="0" w:line="360" w:lineRule="auto"/>
        <w:jc w:val="both"/>
        <w:rPr>
          <w:rFonts w:ascii="Times New Roman" w:hAnsi="Times New Roman" w:cs="Times New Roman"/>
          <w:noProof/>
          <w:sz w:val="24"/>
          <w:szCs w:val="24"/>
          <w:lang w:val="en-US"/>
        </w:rPr>
      </w:pPr>
      <w:r w:rsidRPr="0053583E">
        <w:rPr>
          <w:rFonts w:ascii="Times New Roman" w:hAnsi="Times New Roman" w:cs="Times New Roman"/>
          <w:sz w:val="24"/>
          <w:szCs w:val="24"/>
        </w:rPr>
        <w:t xml:space="preserve">IOM, 2004. </w:t>
      </w:r>
      <w:proofErr w:type="spellStart"/>
      <w:r w:rsidRPr="0053583E">
        <w:rPr>
          <w:rFonts w:ascii="Times New Roman" w:hAnsi="Times New Roman" w:cs="Times New Roman"/>
          <w:sz w:val="24"/>
          <w:szCs w:val="24"/>
        </w:rPr>
        <w:t>Health</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literacy</w:t>
      </w:r>
      <w:proofErr w:type="spellEnd"/>
      <w:r w:rsidRPr="0053583E">
        <w:rPr>
          <w:rFonts w:ascii="Times New Roman" w:hAnsi="Times New Roman" w:cs="Times New Roman"/>
          <w:sz w:val="24"/>
          <w:szCs w:val="24"/>
        </w:rPr>
        <w:t xml:space="preserve">: a </w:t>
      </w:r>
      <w:proofErr w:type="spellStart"/>
      <w:r w:rsidRPr="0053583E">
        <w:rPr>
          <w:rFonts w:ascii="Times New Roman" w:hAnsi="Times New Roman" w:cs="Times New Roman"/>
          <w:sz w:val="24"/>
          <w:szCs w:val="24"/>
        </w:rPr>
        <w:t>prescription</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to</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end</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confusion</w:t>
      </w:r>
      <w:proofErr w:type="spellEnd"/>
      <w:r w:rsidRPr="0053583E">
        <w:rPr>
          <w:rFonts w:ascii="Times New Roman" w:hAnsi="Times New Roman" w:cs="Times New Roman"/>
          <w:sz w:val="24"/>
          <w:szCs w:val="24"/>
        </w:rPr>
        <w:t xml:space="preserve">. Washington DC: </w:t>
      </w:r>
      <w:proofErr w:type="spellStart"/>
      <w:r w:rsidRPr="0053583E">
        <w:rPr>
          <w:rFonts w:ascii="Times New Roman" w:hAnsi="Times New Roman" w:cs="Times New Roman"/>
          <w:sz w:val="24"/>
          <w:szCs w:val="24"/>
        </w:rPr>
        <w:t>National</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Academies</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Press</w:t>
      </w:r>
      <w:proofErr w:type="spellEnd"/>
      <w:r w:rsidRPr="0053583E">
        <w:rPr>
          <w:rFonts w:ascii="Times New Roman" w:hAnsi="Times New Roman" w:cs="Times New Roman"/>
          <w:sz w:val="24"/>
          <w:szCs w:val="24"/>
        </w:rPr>
        <w:t>.</w:t>
      </w:r>
    </w:p>
    <w:p w14:paraId="2341F667" w14:textId="100EDE02" w:rsidR="009B3BEC" w:rsidRPr="009B3BEC" w:rsidRDefault="009B3BEC" w:rsidP="004F44CC">
      <w:pPr>
        <w:pStyle w:val="ListeParagraf"/>
        <w:numPr>
          <w:ilvl w:val="0"/>
          <w:numId w:val="2"/>
        </w:numPr>
        <w:spacing w:after="0" w:line="360" w:lineRule="auto"/>
        <w:jc w:val="both"/>
        <w:rPr>
          <w:rFonts w:ascii="Times New Roman" w:hAnsi="Times New Roman" w:cs="Times New Roman"/>
          <w:noProof/>
          <w:sz w:val="24"/>
          <w:szCs w:val="24"/>
          <w:lang w:val="en-US"/>
        </w:rPr>
      </w:pPr>
      <w:proofErr w:type="spellStart"/>
      <w:r w:rsidRPr="0053583E">
        <w:rPr>
          <w:rFonts w:ascii="Times New Roman" w:hAnsi="Times New Roman" w:cs="Times New Roman"/>
          <w:sz w:val="24"/>
          <w:szCs w:val="24"/>
        </w:rPr>
        <w:t>Kanj</w:t>
      </w:r>
      <w:proofErr w:type="spellEnd"/>
      <w:r w:rsidRPr="0053583E">
        <w:rPr>
          <w:rFonts w:ascii="Times New Roman" w:hAnsi="Times New Roman" w:cs="Times New Roman"/>
          <w:sz w:val="24"/>
          <w:szCs w:val="24"/>
        </w:rPr>
        <w:t xml:space="preserve">, </w:t>
      </w:r>
      <w:proofErr w:type="spellStart"/>
      <w:proofErr w:type="gramStart"/>
      <w:r w:rsidRPr="0053583E">
        <w:rPr>
          <w:rFonts w:ascii="Times New Roman" w:hAnsi="Times New Roman" w:cs="Times New Roman"/>
          <w:sz w:val="24"/>
          <w:szCs w:val="24"/>
        </w:rPr>
        <w:t>M.Mitic</w:t>
      </w:r>
      <w:proofErr w:type="spellEnd"/>
      <w:proofErr w:type="gramEnd"/>
      <w:r w:rsidRPr="0053583E">
        <w:rPr>
          <w:rFonts w:ascii="Times New Roman" w:hAnsi="Times New Roman" w:cs="Times New Roman"/>
          <w:sz w:val="24"/>
          <w:szCs w:val="24"/>
        </w:rPr>
        <w:t xml:space="preserve">, W.(2009). </w:t>
      </w:r>
      <w:proofErr w:type="spellStart"/>
      <w:r w:rsidRPr="0053583E">
        <w:rPr>
          <w:rFonts w:ascii="Times New Roman" w:hAnsi="Times New Roman" w:cs="Times New Roman"/>
          <w:sz w:val="24"/>
          <w:szCs w:val="24"/>
        </w:rPr>
        <w:t>Health</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Literacy</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and</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Health</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Behaviour</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Eastern</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Mediterranean</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Region</w:t>
      </w:r>
      <w:proofErr w:type="spellEnd"/>
      <w:r w:rsidRPr="0053583E">
        <w:rPr>
          <w:rFonts w:ascii="Times New Roman" w:hAnsi="Times New Roman" w:cs="Times New Roman"/>
          <w:sz w:val="24"/>
          <w:szCs w:val="24"/>
        </w:rPr>
        <w:t xml:space="preserve">, World </w:t>
      </w:r>
      <w:proofErr w:type="spellStart"/>
      <w:r w:rsidRPr="0053583E">
        <w:rPr>
          <w:rFonts w:ascii="Times New Roman" w:hAnsi="Times New Roman" w:cs="Times New Roman"/>
          <w:sz w:val="24"/>
          <w:szCs w:val="24"/>
        </w:rPr>
        <w:t>Health</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Organization</w:t>
      </w:r>
      <w:proofErr w:type="spellEnd"/>
      <w:r w:rsidRPr="0053583E">
        <w:rPr>
          <w:rFonts w:ascii="Times New Roman" w:hAnsi="Times New Roman" w:cs="Times New Roman"/>
          <w:sz w:val="24"/>
          <w:szCs w:val="24"/>
        </w:rPr>
        <w:t>.</w:t>
      </w:r>
    </w:p>
    <w:p w14:paraId="2567B484" w14:textId="562C5D4B" w:rsidR="009B3BEC" w:rsidRPr="009B3BEC" w:rsidRDefault="009B3BEC" w:rsidP="004F44CC">
      <w:pPr>
        <w:pStyle w:val="ListeParagraf"/>
        <w:numPr>
          <w:ilvl w:val="0"/>
          <w:numId w:val="2"/>
        </w:numPr>
        <w:spacing w:after="0" w:line="360" w:lineRule="auto"/>
        <w:jc w:val="both"/>
        <w:rPr>
          <w:rFonts w:ascii="Times New Roman" w:hAnsi="Times New Roman" w:cs="Times New Roman"/>
          <w:noProof/>
          <w:sz w:val="24"/>
          <w:szCs w:val="24"/>
          <w:lang w:val="en-US"/>
        </w:rPr>
      </w:pPr>
      <w:proofErr w:type="spellStart"/>
      <w:r w:rsidRPr="0053583E">
        <w:rPr>
          <w:rFonts w:ascii="Times New Roman" w:hAnsi="Times New Roman" w:cs="Times New Roman"/>
          <w:sz w:val="24"/>
          <w:szCs w:val="24"/>
        </w:rPr>
        <w:t>Baur</w:t>
      </w:r>
      <w:proofErr w:type="spellEnd"/>
      <w:r w:rsidRPr="0053583E">
        <w:rPr>
          <w:rFonts w:ascii="Times New Roman" w:hAnsi="Times New Roman" w:cs="Times New Roman"/>
          <w:sz w:val="24"/>
          <w:szCs w:val="24"/>
        </w:rPr>
        <w:t xml:space="preserve"> C. (2010). </w:t>
      </w:r>
      <w:proofErr w:type="spellStart"/>
      <w:r w:rsidRPr="0053583E">
        <w:rPr>
          <w:rFonts w:ascii="Times New Roman" w:hAnsi="Times New Roman" w:cs="Times New Roman"/>
          <w:sz w:val="24"/>
          <w:szCs w:val="24"/>
        </w:rPr>
        <w:t>National</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action</w:t>
      </w:r>
      <w:proofErr w:type="spellEnd"/>
      <w:r w:rsidRPr="0053583E">
        <w:rPr>
          <w:rFonts w:ascii="Times New Roman" w:hAnsi="Times New Roman" w:cs="Times New Roman"/>
          <w:sz w:val="24"/>
          <w:szCs w:val="24"/>
        </w:rPr>
        <w:t xml:space="preserve"> plan </w:t>
      </w:r>
      <w:proofErr w:type="spellStart"/>
      <w:r w:rsidRPr="0053583E">
        <w:rPr>
          <w:rFonts w:ascii="Times New Roman" w:hAnsi="Times New Roman" w:cs="Times New Roman"/>
          <w:sz w:val="24"/>
          <w:szCs w:val="24"/>
        </w:rPr>
        <w:t>to</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improve</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health</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literacy</w:t>
      </w:r>
      <w:proofErr w:type="spellEnd"/>
      <w:r w:rsidRPr="0053583E">
        <w:rPr>
          <w:rFonts w:ascii="Times New Roman" w:hAnsi="Times New Roman" w:cs="Times New Roman"/>
          <w:sz w:val="24"/>
          <w:szCs w:val="24"/>
        </w:rPr>
        <w:t xml:space="preserve">; U.S. </w:t>
      </w:r>
      <w:proofErr w:type="spellStart"/>
      <w:r w:rsidRPr="0053583E">
        <w:rPr>
          <w:rFonts w:ascii="Times New Roman" w:hAnsi="Times New Roman" w:cs="Times New Roman"/>
          <w:sz w:val="24"/>
          <w:szCs w:val="24"/>
        </w:rPr>
        <w:t>Departmant</w:t>
      </w:r>
      <w:proofErr w:type="spellEnd"/>
      <w:r w:rsidRPr="0053583E">
        <w:rPr>
          <w:rFonts w:ascii="Times New Roman" w:hAnsi="Times New Roman" w:cs="Times New Roman"/>
          <w:sz w:val="24"/>
          <w:szCs w:val="24"/>
        </w:rPr>
        <w:t xml:space="preserve"> of </w:t>
      </w:r>
      <w:proofErr w:type="spellStart"/>
      <w:r w:rsidRPr="0053583E">
        <w:rPr>
          <w:rFonts w:ascii="Times New Roman" w:hAnsi="Times New Roman" w:cs="Times New Roman"/>
          <w:sz w:val="24"/>
          <w:szCs w:val="24"/>
        </w:rPr>
        <w:t>Health</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and</w:t>
      </w:r>
      <w:proofErr w:type="spellEnd"/>
      <w:r w:rsidRPr="0053583E">
        <w:rPr>
          <w:rFonts w:ascii="Times New Roman" w:hAnsi="Times New Roman" w:cs="Times New Roman"/>
          <w:sz w:val="24"/>
          <w:szCs w:val="24"/>
        </w:rPr>
        <w:t xml:space="preserve"> Human Services Office of </w:t>
      </w:r>
      <w:proofErr w:type="spellStart"/>
      <w:r w:rsidRPr="0053583E">
        <w:rPr>
          <w:rFonts w:ascii="Times New Roman" w:hAnsi="Times New Roman" w:cs="Times New Roman"/>
          <w:sz w:val="24"/>
          <w:szCs w:val="24"/>
        </w:rPr>
        <w:t>Disease</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Prevention</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and</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Health</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Promotion</w:t>
      </w:r>
      <w:proofErr w:type="spellEnd"/>
      <w:r w:rsidRPr="0053583E">
        <w:rPr>
          <w:rFonts w:ascii="Times New Roman" w:hAnsi="Times New Roman" w:cs="Times New Roman"/>
          <w:sz w:val="24"/>
          <w:szCs w:val="24"/>
        </w:rPr>
        <w:t xml:space="preserve">, </w:t>
      </w:r>
      <w:proofErr w:type="spellStart"/>
      <w:r w:rsidRPr="0053583E">
        <w:rPr>
          <w:rFonts w:ascii="Times New Roman" w:hAnsi="Times New Roman" w:cs="Times New Roman"/>
          <w:sz w:val="24"/>
          <w:szCs w:val="24"/>
        </w:rPr>
        <w:t>ss</w:t>
      </w:r>
      <w:proofErr w:type="spellEnd"/>
      <w:r w:rsidRPr="0053583E">
        <w:rPr>
          <w:rFonts w:ascii="Times New Roman" w:hAnsi="Times New Roman" w:cs="Times New Roman"/>
          <w:sz w:val="24"/>
          <w:szCs w:val="24"/>
        </w:rPr>
        <w:t>: 7-8</w:t>
      </w:r>
    </w:p>
    <w:p w14:paraId="51A769F3" w14:textId="77777777" w:rsidR="009B3BEC" w:rsidRPr="009B3BEC" w:rsidRDefault="009B3BEC" w:rsidP="009B3BEC">
      <w:pPr>
        <w:pStyle w:val="ListeParagraf"/>
        <w:numPr>
          <w:ilvl w:val="0"/>
          <w:numId w:val="2"/>
        </w:numPr>
        <w:spacing w:after="0" w:line="360" w:lineRule="auto"/>
        <w:jc w:val="both"/>
        <w:rPr>
          <w:rFonts w:ascii="Times New Roman" w:hAnsi="Times New Roman" w:cs="Times New Roman"/>
          <w:sz w:val="24"/>
          <w:szCs w:val="24"/>
        </w:rPr>
      </w:pPr>
      <w:r w:rsidRPr="009B3BEC">
        <w:rPr>
          <w:rFonts w:ascii="Times New Roman" w:hAnsi="Times New Roman" w:cs="Times New Roman"/>
          <w:sz w:val="24"/>
          <w:szCs w:val="24"/>
        </w:rPr>
        <w:t>T.C. Sağlık Bakanlığı (2014</w:t>
      </w:r>
      <w:proofErr w:type="gramStart"/>
      <w:r w:rsidRPr="009B3BEC">
        <w:rPr>
          <w:rFonts w:ascii="Times New Roman" w:hAnsi="Times New Roman" w:cs="Times New Roman"/>
          <w:sz w:val="24"/>
          <w:szCs w:val="24"/>
        </w:rPr>
        <w:t>).Türkiye</w:t>
      </w:r>
      <w:proofErr w:type="gramEnd"/>
      <w:r w:rsidRPr="009B3BEC">
        <w:rPr>
          <w:rFonts w:ascii="Times New Roman" w:hAnsi="Times New Roman" w:cs="Times New Roman"/>
          <w:sz w:val="24"/>
          <w:szCs w:val="24"/>
        </w:rPr>
        <w:t xml:space="preserve"> Sağlık Okuryazarlığı Araştırması. Sağlık Ve Sosyal Hizmet Çalışanları Sendikası. </w:t>
      </w:r>
      <w:hyperlink r:id="rId9" w:history="1">
        <w:r w:rsidRPr="009B3BEC">
          <w:rPr>
            <w:rStyle w:val="Kpr"/>
            <w:rFonts w:ascii="Times New Roman" w:hAnsi="Times New Roman" w:cs="Times New Roman"/>
            <w:sz w:val="24"/>
            <w:szCs w:val="24"/>
          </w:rPr>
          <w:t>http://www.sagliksen.org.tr</w:t>
        </w:r>
      </w:hyperlink>
    </w:p>
    <w:p w14:paraId="7F03D8F7" w14:textId="77777777" w:rsidR="009B3BEC" w:rsidRPr="009B3BEC" w:rsidRDefault="009B3BEC" w:rsidP="009B3BEC">
      <w:pPr>
        <w:pStyle w:val="ListeParagraf"/>
        <w:spacing w:after="200" w:line="360" w:lineRule="auto"/>
        <w:ind w:left="924"/>
        <w:jc w:val="both"/>
        <w:rPr>
          <w:rFonts w:ascii="Times New Roman" w:hAnsi="Times New Roman" w:cs="Times New Roman"/>
          <w:sz w:val="24"/>
          <w:szCs w:val="24"/>
        </w:rPr>
      </w:pPr>
    </w:p>
    <w:p w14:paraId="1A44C45E" w14:textId="77777777" w:rsidR="004F44CC" w:rsidRPr="004F44CC" w:rsidRDefault="004F44CC" w:rsidP="006708F9">
      <w:pPr>
        <w:spacing w:before="120" w:after="0" w:line="360" w:lineRule="auto"/>
        <w:ind w:left="284" w:firstLine="919"/>
        <w:jc w:val="both"/>
        <w:rPr>
          <w:rFonts w:ascii="Times New Roman" w:hAnsi="Times New Roman" w:cs="Times New Roman"/>
          <w:b/>
          <w:sz w:val="24"/>
          <w:szCs w:val="24"/>
        </w:rPr>
      </w:pPr>
    </w:p>
    <w:p w14:paraId="589B500E" w14:textId="77777777" w:rsidR="00A20407" w:rsidRPr="005D1551" w:rsidRDefault="00A20407" w:rsidP="00B55AE6">
      <w:pPr>
        <w:spacing w:before="120" w:line="360" w:lineRule="auto"/>
        <w:ind w:left="284" w:firstLine="919"/>
        <w:jc w:val="both"/>
        <w:rPr>
          <w:rFonts w:ascii="Times New Roman" w:hAnsi="Times New Roman" w:cs="Times New Roman"/>
          <w:b/>
          <w:sz w:val="24"/>
          <w:szCs w:val="24"/>
        </w:rPr>
      </w:pPr>
    </w:p>
    <w:p w14:paraId="6F332D01" w14:textId="77777777" w:rsidR="00A20407" w:rsidRPr="005D1551" w:rsidRDefault="00A20407" w:rsidP="00B55AE6">
      <w:pPr>
        <w:pStyle w:val="metinii"/>
        <w:spacing w:before="120" w:after="360"/>
        <w:ind w:left="284" w:firstLine="919"/>
        <w:rPr>
          <w:rFonts w:cs="Times New Roman"/>
          <w:szCs w:val="24"/>
        </w:rPr>
      </w:pPr>
    </w:p>
    <w:p w14:paraId="52CF6E99" w14:textId="041B0E7E" w:rsidR="00A20407" w:rsidRPr="005D1551" w:rsidRDefault="00A20407" w:rsidP="00B55AE6">
      <w:pPr>
        <w:pStyle w:val="metinii"/>
        <w:spacing w:before="120" w:after="360"/>
        <w:ind w:left="284" w:firstLine="919"/>
        <w:rPr>
          <w:rFonts w:cs="Times New Roman"/>
          <w:szCs w:val="24"/>
        </w:rPr>
      </w:pPr>
    </w:p>
    <w:p w14:paraId="3AF620D0" w14:textId="77777777" w:rsidR="00A20407" w:rsidRPr="005D1551" w:rsidRDefault="00A20407" w:rsidP="00B55AE6">
      <w:pPr>
        <w:spacing w:before="120" w:after="360" w:line="360" w:lineRule="auto"/>
        <w:ind w:left="284" w:firstLine="919"/>
        <w:jc w:val="both"/>
        <w:rPr>
          <w:rFonts w:ascii="Times New Roman" w:hAnsi="Times New Roman" w:cs="Times New Roman"/>
          <w:sz w:val="24"/>
          <w:szCs w:val="24"/>
        </w:rPr>
      </w:pPr>
    </w:p>
    <w:p w14:paraId="5FD0859C" w14:textId="77777777" w:rsidR="00A20407" w:rsidRPr="005D1551" w:rsidRDefault="00A20407" w:rsidP="00B55AE6">
      <w:pPr>
        <w:spacing w:before="120" w:after="360" w:line="360" w:lineRule="auto"/>
        <w:ind w:left="284" w:firstLine="919"/>
        <w:jc w:val="both"/>
        <w:rPr>
          <w:rFonts w:ascii="Times New Roman" w:hAnsi="Times New Roman" w:cs="Times New Roman"/>
          <w:sz w:val="24"/>
          <w:szCs w:val="24"/>
        </w:rPr>
      </w:pPr>
    </w:p>
    <w:p w14:paraId="173E4406" w14:textId="77777777" w:rsidR="00996B85" w:rsidRPr="005D1551" w:rsidRDefault="00996B85" w:rsidP="00B55AE6">
      <w:pPr>
        <w:autoSpaceDE w:val="0"/>
        <w:autoSpaceDN w:val="0"/>
        <w:adjustRightInd w:val="0"/>
        <w:spacing w:before="120" w:after="360" w:line="360" w:lineRule="auto"/>
        <w:ind w:left="284" w:firstLine="919"/>
        <w:jc w:val="both"/>
        <w:rPr>
          <w:rFonts w:ascii="Times New Roman" w:eastAsia="TimesNewRomanPSMT" w:hAnsi="Times New Roman" w:cs="Times New Roman"/>
          <w:sz w:val="24"/>
          <w:szCs w:val="24"/>
        </w:rPr>
      </w:pPr>
    </w:p>
    <w:p w14:paraId="5E2055F9" w14:textId="77777777" w:rsidR="00996B85" w:rsidRPr="005D1551" w:rsidRDefault="00996B85" w:rsidP="00B55AE6">
      <w:pPr>
        <w:autoSpaceDE w:val="0"/>
        <w:autoSpaceDN w:val="0"/>
        <w:adjustRightInd w:val="0"/>
        <w:spacing w:before="120" w:after="360" w:line="360" w:lineRule="auto"/>
        <w:ind w:left="284" w:firstLine="919"/>
        <w:jc w:val="both"/>
        <w:rPr>
          <w:rFonts w:ascii="Times New Roman" w:eastAsia="TimesNewRomanPSMT" w:hAnsi="Times New Roman" w:cs="Times New Roman"/>
          <w:sz w:val="24"/>
          <w:szCs w:val="24"/>
        </w:rPr>
      </w:pPr>
    </w:p>
    <w:p w14:paraId="5B556CBB" w14:textId="77777777" w:rsidR="00996B85" w:rsidRPr="005D1551" w:rsidRDefault="00996B85" w:rsidP="00B55AE6">
      <w:pPr>
        <w:autoSpaceDE w:val="0"/>
        <w:autoSpaceDN w:val="0"/>
        <w:adjustRightInd w:val="0"/>
        <w:spacing w:before="120" w:after="360" w:line="360" w:lineRule="auto"/>
        <w:ind w:left="284" w:firstLine="919"/>
        <w:jc w:val="both"/>
        <w:rPr>
          <w:rFonts w:ascii="Times New Roman" w:eastAsia="TimesNewRomanPSMT" w:hAnsi="Times New Roman" w:cs="Times New Roman"/>
          <w:sz w:val="24"/>
          <w:szCs w:val="24"/>
        </w:rPr>
      </w:pPr>
    </w:p>
    <w:p w14:paraId="7C15C6CC" w14:textId="77777777" w:rsidR="00996B85" w:rsidRPr="005D1551" w:rsidRDefault="00996B85" w:rsidP="00B55AE6">
      <w:pPr>
        <w:autoSpaceDE w:val="0"/>
        <w:autoSpaceDN w:val="0"/>
        <w:adjustRightInd w:val="0"/>
        <w:spacing w:before="120" w:after="360" w:line="360" w:lineRule="auto"/>
        <w:ind w:left="284" w:firstLine="919"/>
        <w:jc w:val="both"/>
        <w:rPr>
          <w:rFonts w:ascii="Times New Roman" w:eastAsia="TimesNewRomanPSMT" w:hAnsi="Times New Roman" w:cs="Times New Roman"/>
          <w:sz w:val="24"/>
          <w:szCs w:val="24"/>
        </w:rPr>
      </w:pPr>
    </w:p>
    <w:p w14:paraId="2B430A65" w14:textId="77777777" w:rsidR="00A172C9" w:rsidRPr="005D1551" w:rsidRDefault="00A172C9" w:rsidP="00B55AE6">
      <w:pPr>
        <w:spacing w:before="120" w:after="360" w:line="360" w:lineRule="auto"/>
        <w:ind w:left="284" w:firstLine="919"/>
        <w:jc w:val="both"/>
        <w:rPr>
          <w:rFonts w:ascii="Times New Roman" w:eastAsia="Times New Roman" w:hAnsi="Times New Roman" w:cs="Times New Roman"/>
          <w:sz w:val="24"/>
          <w:szCs w:val="24"/>
          <w:lang w:eastAsia="tr-TR"/>
        </w:rPr>
      </w:pPr>
    </w:p>
    <w:p w14:paraId="644DC18F" w14:textId="77777777" w:rsidR="00B70AAE" w:rsidRPr="005D1551" w:rsidRDefault="00B70AAE" w:rsidP="00B55AE6">
      <w:pPr>
        <w:pStyle w:val="ListeParagraf"/>
        <w:spacing w:before="120" w:after="360" w:line="360" w:lineRule="auto"/>
        <w:ind w:left="284" w:firstLine="919"/>
        <w:jc w:val="both"/>
        <w:rPr>
          <w:rFonts w:ascii="Times New Roman" w:hAnsi="Times New Roman" w:cs="Times New Roman"/>
          <w:sz w:val="24"/>
          <w:szCs w:val="24"/>
        </w:rPr>
      </w:pPr>
    </w:p>
    <w:p w14:paraId="3B32549C" w14:textId="77777777" w:rsidR="00B70AAE" w:rsidRPr="005D1551" w:rsidRDefault="00B70AAE" w:rsidP="00B55AE6">
      <w:pPr>
        <w:pStyle w:val="ListeParagraf"/>
        <w:spacing w:before="120" w:after="360" w:line="360" w:lineRule="auto"/>
        <w:ind w:left="284" w:firstLine="919"/>
        <w:jc w:val="both"/>
        <w:rPr>
          <w:rFonts w:ascii="Times New Roman" w:hAnsi="Times New Roman" w:cs="Times New Roman"/>
          <w:sz w:val="24"/>
          <w:szCs w:val="24"/>
        </w:rPr>
      </w:pPr>
    </w:p>
    <w:sectPr w:rsidR="00B70AAE" w:rsidRPr="005D15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UI"/>
    <w:charset w:val="00"/>
    <w:family w:val="roman"/>
    <w:pitch w:val="variable"/>
    <w:sig w:usb0="E0002AEF" w:usb1="C0007841" w:usb2="00000009" w:usb3="00000000" w:csb0="000001FF" w:csb1="00000000"/>
  </w:font>
  <w:font w:name="TRTimesNewRoman">
    <w:altName w:val="MS Mincho"/>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BFD"/>
    <w:multiLevelType w:val="hybridMultilevel"/>
    <w:tmpl w:val="65247CD8"/>
    <w:lvl w:ilvl="0" w:tplc="DC565B34">
      <w:start w:val="1"/>
      <w:numFmt w:val="decimal"/>
      <w:lvlText w:val="%1."/>
      <w:lvlJc w:val="left"/>
      <w:pPr>
        <w:ind w:left="924" w:hanging="56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332AED"/>
    <w:multiLevelType w:val="hybridMultilevel"/>
    <w:tmpl w:val="1BD88D36"/>
    <w:lvl w:ilvl="0" w:tplc="FC0296C6">
      <w:start w:val="1"/>
      <w:numFmt w:val="bullet"/>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31"/>
    <w:rsid w:val="000027A7"/>
    <w:rsid w:val="0005097F"/>
    <w:rsid w:val="00073623"/>
    <w:rsid w:val="000F1119"/>
    <w:rsid w:val="001011EA"/>
    <w:rsid w:val="0012317D"/>
    <w:rsid w:val="00164C42"/>
    <w:rsid w:val="00181C1D"/>
    <w:rsid w:val="001A14CA"/>
    <w:rsid w:val="001A7BAF"/>
    <w:rsid w:val="001F7355"/>
    <w:rsid w:val="002043E8"/>
    <w:rsid w:val="00232E03"/>
    <w:rsid w:val="00247A5B"/>
    <w:rsid w:val="002B0FB8"/>
    <w:rsid w:val="003140DD"/>
    <w:rsid w:val="003239DA"/>
    <w:rsid w:val="0033327A"/>
    <w:rsid w:val="00380C9D"/>
    <w:rsid w:val="003919E0"/>
    <w:rsid w:val="003F7173"/>
    <w:rsid w:val="004067E3"/>
    <w:rsid w:val="00435694"/>
    <w:rsid w:val="00436CF2"/>
    <w:rsid w:val="00475499"/>
    <w:rsid w:val="004A3E89"/>
    <w:rsid w:val="004F44CC"/>
    <w:rsid w:val="00501374"/>
    <w:rsid w:val="00505EB3"/>
    <w:rsid w:val="005501B5"/>
    <w:rsid w:val="0055390A"/>
    <w:rsid w:val="005D1551"/>
    <w:rsid w:val="0061215F"/>
    <w:rsid w:val="00655EF1"/>
    <w:rsid w:val="006708F9"/>
    <w:rsid w:val="00692324"/>
    <w:rsid w:val="006A16C0"/>
    <w:rsid w:val="006C2E9C"/>
    <w:rsid w:val="007202E4"/>
    <w:rsid w:val="007364B1"/>
    <w:rsid w:val="00780434"/>
    <w:rsid w:val="00806712"/>
    <w:rsid w:val="0081324D"/>
    <w:rsid w:val="0082420C"/>
    <w:rsid w:val="0084687C"/>
    <w:rsid w:val="0087344C"/>
    <w:rsid w:val="008738A2"/>
    <w:rsid w:val="00893213"/>
    <w:rsid w:val="008C39D8"/>
    <w:rsid w:val="008D16B8"/>
    <w:rsid w:val="008E682E"/>
    <w:rsid w:val="00911E73"/>
    <w:rsid w:val="00996465"/>
    <w:rsid w:val="00996B85"/>
    <w:rsid w:val="009B3BEC"/>
    <w:rsid w:val="009E44B7"/>
    <w:rsid w:val="00A172C9"/>
    <w:rsid w:val="00A20407"/>
    <w:rsid w:val="00A27A89"/>
    <w:rsid w:val="00A85D82"/>
    <w:rsid w:val="00AA781D"/>
    <w:rsid w:val="00AC68FC"/>
    <w:rsid w:val="00AD40BF"/>
    <w:rsid w:val="00AD6B08"/>
    <w:rsid w:val="00AE5B1E"/>
    <w:rsid w:val="00B45791"/>
    <w:rsid w:val="00B55AE6"/>
    <w:rsid w:val="00B70AAE"/>
    <w:rsid w:val="00BB0531"/>
    <w:rsid w:val="00C35FB8"/>
    <w:rsid w:val="00C53042"/>
    <w:rsid w:val="00C55F46"/>
    <w:rsid w:val="00C65B18"/>
    <w:rsid w:val="00C91A48"/>
    <w:rsid w:val="00CE0B74"/>
    <w:rsid w:val="00D06ED4"/>
    <w:rsid w:val="00DE6A8A"/>
    <w:rsid w:val="00DF521F"/>
    <w:rsid w:val="00E03E95"/>
    <w:rsid w:val="00E141DE"/>
    <w:rsid w:val="00E2084C"/>
    <w:rsid w:val="00E2182D"/>
    <w:rsid w:val="00E44A5C"/>
    <w:rsid w:val="00E44BD6"/>
    <w:rsid w:val="00E70F69"/>
    <w:rsid w:val="00F205BB"/>
    <w:rsid w:val="00F21332"/>
    <w:rsid w:val="00F5023F"/>
    <w:rsid w:val="00F546EA"/>
    <w:rsid w:val="00F61948"/>
    <w:rsid w:val="00F732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D171"/>
  <w15:chartTrackingRefBased/>
  <w15:docId w15:val="{8E8D4B27-0D70-4232-A85E-FF43CEC4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A204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A172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A172C9"/>
    <w:pPr>
      <w:keepNext/>
      <w:keepLines/>
      <w:spacing w:before="360" w:after="360" w:line="360" w:lineRule="auto"/>
      <w:ind w:firstLine="709"/>
      <w:jc w:val="both"/>
      <w:outlineLvl w:val="2"/>
    </w:pPr>
    <w:rPr>
      <w:rFonts w:ascii="Times New Roman" w:eastAsiaTheme="majorEastAsia" w:hAnsi="Times New Roman" w:cstheme="majorBidi"/>
      <w:b/>
      <w:bCs/>
      <w:color w:val="000000" w:themeColor="text1"/>
      <w:sz w:val="24"/>
    </w:rPr>
  </w:style>
  <w:style w:type="paragraph" w:styleId="Balk6">
    <w:name w:val="heading 6"/>
    <w:basedOn w:val="Normal"/>
    <w:next w:val="Normal"/>
    <w:link w:val="Balk6Char"/>
    <w:uiPriority w:val="9"/>
    <w:semiHidden/>
    <w:unhideWhenUsed/>
    <w:qFormat/>
    <w:rsid w:val="00A20407"/>
    <w:pPr>
      <w:keepNext/>
      <w:keepLines/>
      <w:spacing w:before="40" w:after="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unhideWhenUsed/>
    <w:qFormat/>
    <w:rsid w:val="00A2040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A2040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ii">
    <w:name w:val="metiniçi"/>
    <w:basedOn w:val="Normal"/>
    <w:qFormat/>
    <w:rsid w:val="0055390A"/>
    <w:pPr>
      <w:spacing w:line="360" w:lineRule="auto"/>
      <w:ind w:firstLine="709"/>
      <w:jc w:val="both"/>
    </w:pPr>
    <w:rPr>
      <w:rFonts w:ascii="Times New Roman" w:hAnsi="Times New Roman"/>
      <w:sz w:val="24"/>
    </w:rPr>
  </w:style>
  <w:style w:type="paragraph" w:styleId="ListeParagraf">
    <w:name w:val="List Paragraph"/>
    <w:basedOn w:val="Normal"/>
    <w:uiPriority w:val="34"/>
    <w:qFormat/>
    <w:rsid w:val="00B70AAE"/>
    <w:pPr>
      <w:ind w:left="720"/>
      <w:contextualSpacing/>
    </w:pPr>
  </w:style>
  <w:style w:type="character" w:customStyle="1" w:styleId="Balk3Char">
    <w:name w:val="Başlık 3 Char"/>
    <w:basedOn w:val="VarsaylanParagrafYazTipi"/>
    <w:link w:val="Balk3"/>
    <w:uiPriority w:val="9"/>
    <w:rsid w:val="00A172C9"/>
    <w:rPr>
      <w:rFonts w:ascii="Times New Roman" w:eastAsiaTheme="majorEastAsia" w:hAnsi="Times New Roman" w:cstheme="majorBidi"/>
      <w:b/>
      <w:bCs/>
      <w:color w:val="000000" w:themeColor="text1"/>
      <w:sz w:val="24"/>
    </w:rPr>
  </w:style>
  <w:style w:type="character" w:customStyle="1" w:styleId="Balk2Char">
    <w:name w:val="Başlık 2 Char"/>
    <w:basedOn w:val="VarsaylanParagrafYazTipi"/>
    <w:link w:val="Balk2"/>
    <w:uiPriority w:val="9"/>
    <w:rsid w:val="00A172C9"/>
    <w:rPr>
      <w:rFonts w:asciiTheme="majorHAnsi" w:eastAsiaTheme="majorEastAsia" w:hAnsiTheme="majorHAnsi" w:cstheme="majorBidi"/>
      <w:color w:val="2F5496" w:themeColor="accent1" w:themeShade="BF"/>
      <w:sz w:val="26"/>
      <w:szCs w:val="26"/>
    </w:rPr>
  </w:style>
  <w:style w:type="character" w:customStyle="1" w:styleId="Balk6Char">
    <w:name w:val="Başlık 6 Char"/>
    <w:basedOn w:val="VarsaylanParagrafYazTipi"/>
    <w:link w:val="Balk6"/>
    <w:uiPriority w:val="9"/>
    <w:semiHidden/>
    <w:rsid w:val="00A20407"/>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rsid w:val="00A20407"/>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A20407"/>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A204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20407"/>
    <w:rPr>
      <w:rFonts w:asciiTheme="majorHAnsi" w:eastAsiaTheme="majorEastAsia" w:hAnsiTheme="majorHAnsi" w:cstheme="majorBidi"/>
      <w:color w:val="2F5496" w:themeColor="accent1" w:themeShade="BF"/>
      <w:sz w:val="32"/>
      <w:szCs w:val="32"/>
    </w:rPr>
  </w:style>
  <w:style w:type="table" w:styleId="TabloKlavuzu">
    <w:name w:val="Table Grid"/>
    <w:basedOn w:val="NormalTablo"/>
    <w:uiPriority w:val="39"/>
    <w:rsid w:val="003F7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F44CC"/>
    <w:rPr>
      <w:color w:val="0563C1" w:themeColor="hyperlink"/>
      <w:u w:val="single"/>
    </w:rPr>
  </w:style>
  <w:style w:type="character" w:styleId="zmlenmeyenBahsetme">
    <w:name w:val="Unresolved Mention"/>
    <w:basedOn w:val="VarsaylanParagrafYazTipi"/>
    <w:uiPriority w:val="99"/>
    <w:semiHidden/>
    <w:unhideWhenUsed/>
    <w:rsid w:val="004F4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919321">
      <w:bodyDiv w:val="1"/>
      <w:marLeft w:val="0"/>
      <w:marRight w:val="0"/>
      <w:marTop w:val="0"/>
      <w:marBottom w:val="0"/>
      <w:divBdr>
        <w:top w:val="none" w:sz="0" w:space="0" w:color="auto"/>
        <w:left w:val="none" w:sz="0" w:space="0" w:color="auto"/>
        <w:bottom w:val="none" w:sz="0" w:space="0" w:color="auto"/>
        <w:right w:val="none" w:sz="0" w:space="0" w:color="auto"/>
      </w:divBdr>
    </w:div>
    <w:div w:id="1426878048">
      <w:bodyDiv w:val="1"/>
      <w:marLeft w:val="0"/>
      <w:marRight w:val="0"/>
      <w:marTop w:val="0"/>
      <w:marBottom w:val="0"/>
      <w:divBdr>
        <w:top w:val="none" w:sz="0" w:space="0" w:color="auto"/>
        <w:left w:val="none" w:sz="0" w:space="0" w:color="auto"/>
        <w:bottom w:val="none" w:sz="0" w:space="0" w:color="auto"/>
        <w:right w:val="none" w:sz="0" w:space="0" w:color="auto"/>
      </w:divBdr>
    </w:div>
    <w:div w:id="2050259717">
      <w:bodyDiv w:val="1"/>
      <w:marLeft w:val="0"/>
      <w:marRight w:val="0"/>
      <w:marTop w:val="0"/>
      <w:marBottom w:val="0"/>
      <w:divBdr>
        <w:top w:val="none" w:sz="0" w:space="0" w:color="auto"/>
        <w:left w:val="none" w:sz="0" w:space="0" w:color="auto"/>
        <w:bottom w:val="none" w:sz="0" w:space="0" w:color="auto"/>
        <w:right w:val="none" w:sz="0" w:space="0" w:color="auto"/>
      </w:divBdr>
    </w:div>
    <w:div w:id="209014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ageing" TargetMode="External"/><Relationship Id="rId3" Type="http://schemas.openxmlformats.org/officeDocument/2006/relationships/styles" Target="styles.xml"/><Relationship Id="rId7" Type="http://schemas.openxmlformats.org/officeDocument/2006/relationships/hyperlink" Target="http://www.healthliteracy.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ealthliteracy.Trinityseven.Biz/Wp-Content/Uploads/2010/11/EU-HEALTH-L&#304;TERACY,SURVEY-FULL-REPORT.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gliksen.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18B7C-D4DE-4EFB-A5F2-5C0D273A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4525</Words>
  <Characters>25799</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Kartal</dc:creator>
  <cp:keywords/>
  <dc:description/>
  <cp:lastModifiedBy>IDEAL BERAA YILMAZ KARTAL</cp:lastModifiedBy>
  <cp:revision>2</cp:revision>
  <dcterms:created xsi:type="dcterms:W3CDTF">2022-04-13T21:03:00Z</dcterms:created>
  <dcterms:modified xsi:type="dcterms:W3CDTF">2022-04-13T21:03:00Z</dcterms:modified>
</cp:coreProperties>
</file>